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5668C" w14:textId="77777777" w:rsidR="00724D08" w:rsidRPr="003D2921" w:rsidRDefault="000D7D27" w:rsidP="00724D08">
      <w:pPr>
        <w:jc w:val="center"/>
        <w:rPr>
          <w:b/>
          <w:sz w:val="24"/>
          <w:szCs w:val="24"/>
        </w:rPr>
      </w:pPr>
      <w:r w:rsidRPr="003D2921">
        <w:rPr>
          <w:b/>
          <w:noProof/>
          <w:sz w:val="24"/>
          <w:szCs w:val="24"/>
        </w:rPr>
        <w:drawing>
          <wp:inline distT="0" distB="0" distL="0" distR="0" wp14:anchorId="77DE2C07" wp14:editId="214BEE4C">
            <wp:extent cx="1158240" cy="1098424"/>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11">
                      <a:extLst>
                        <a:ext uri="{28A0092B-C50C-407E-A947-70E740481C1C}">
                          <a14:useLocalDpi xmlns:a14="http://schemas.microsoft.com/office/drawing/2010/main" val="0"/>
                        </a:ext>
                      </a:extLst>
                    </a:blip>
                    <a:stretch>
                      <a:fillRect/>
                    </a:stretch>
                  </pic:blipFill>
                  <pic:spPr>
                    <a:xfrm>
                      <a:off x="0" y="0"/>
                      <a:ext cx="1168753" cy="1108394"/>
                    </a:xfrm>
                    <a:prstGeom prst="rect">
                      <a:avLst/>
                    </a:prstGeom>
                  </pic:spPr>
                </pic:pic>
              </a:graphicData>
            </a:graphic>
          </wp:inline>
        </w:drawing>
      </w:r>
    </w:p>
    <w:p w14:paraId="0EEBCB40" w14:textId="77777777" w:rsidR="00724D08" w:rsidRPr="003D2921" w:rsidRDefault="000D7D27" w:rsidP="00724D08">
      <w:pPr>
        <w:jc w:val="center"/>
        <w:rPr>
          <w:b/>
          <w:sz w:val="24"/>
          <w:szCs w:val="24"/>
        </w:rPr>
      </w:pPr>
      <w:r w:rsidRPr="003D2921">
        <w:rPr>
          <w:b/>
          <w:sz w:val="24"/>
          <w:szCs w:val="24"/>
        </w:rPr>
        <w:t>Steeton</w:t>
      </w:r>
      <w:r w:rsidR="00724D08" w:rsidRPr="003D2921">
        <w:rPr>
          <w:b/>
          <w:sz w:val="24"/>
          <w:szCs w:val="24"/>
        </w:rPr>
        <w:t xml:space="preserve"> Primary School</w:t>
      </w:r>
    </w:p>
    <w:p w14:paraId="06E1072F" w14:textId="77777777" w:rsidR="00724D08" w:rsidRPr="003D2921" w:rsidRDefault="00724D08" w:rsidP="00724D08">
      <w:pPr>
        <w:jc w:val="both"/>
        <w:rPr>
          <w:b/>
          <w:sz w:val="24"/>
          <w:szCs w:val="24"/>
        </w:rPr>
      </w:pPr>
    </w:p>
    <w:p w14:paraId="01DD3AA5" w14:textId="007BD6DA" w:rsidR="00724D08" w:rsidRPr="003D2921" w:rsidRDefault="00B927D7" w:rsidP="00724D08">
      <w:pPr>
        <w:jc w:val="center"/>
        <w:rPr>
          <w:b/>
          <w:sz w:val="24"/>
          <w:szCs w:val="24"/>
        </w:rPr>
      </w:pPr>
      <w:r w:rsidRPr="003D2921">
        <w:rPr>
          <w:b/>
          <w:sz w:val="24"/>
          <w:szCs w:val="24"/>
        </w:rPr>
        <w:t>202</w:t>
      </w:r>
      <w:r w:rsidR="00F7548C">
        <w:rPr>
          <w:b/>
          <w:sz w:val="24"/>
          <w:szCs w:val="24"/>
        </w:rPr>
        <w:t>4</w:t>
      </w:r>
      <w:r w:rsidRPr="003D2921">
        <w:rPr>
          <w:b/>
          <w:sz w:val="24"/>
          <w:szCs w:val="24"/>
        </w:rPr>
        <w:t>-202</w:t>
      </w:r>
      <w:r w:rsidR="00F7548C">
        <w:rPr>
          <w:b/>
          <w:sz w:val="24"/>
          <w:szCs w:val="24"/>
        </w:rPr>
        <w:t xml:space="preserve">5 </w:t>
      </w:r>
      <w:r w:rsidR="00724D08" w:rsidRPr="003D2921">
        <w:rPr>
          <w:b/>
          <w:sz w:val="24"/>
          <w:szCs w:val="24"/>
        </w:rPr>
        <w:t>Annual Report to Parents and Governors</w:t>
      </w:r>
    </w:p>
    <w:p w14:paraId="1F1F71A2" w14:textId="77777777" w:rsidR="00724D08" w:rsidRPr="003D2921" w:rsidRDefault="00724D08" w:rsidP="00724D08">
      <w:pPr>
        <w:jc w:val="center"/>
        <w:rPr>
          <w:b/>
          <w:sz w:val="24"/>
          <w:szCs w:val="24"/>
        </w:rPr>
      </w:pPr>
      <w:r w:rsidRPr="003D2921">
        <w:rPr>
          <w:b/>
          <w:sz w:val="24"/>
          <w:szCs w:val="24"/>
        </w:rPr>
        <w:t>on the Implementation of the Special Educational Needs and Disability (SEND) Policy in Practice.</w:t>
      </w:r>
    </w:p>
    <w:p w14:paraId="14571558" w14:textId="77777777" w:rsidR="00724D08" w:rsidRPr="003D2921" w:rsidRDefault="00724D08" w:rsidP="00724D08">
      <w:pPr>
        <w:jc w:val="both"/>
        <w:rPr>
          <w:sz w:val="24"/>
          <w:szCs w:val="24"/>
        </w:rPr>
      </w:pPr>
      <w:r w:rsidRPr="003D2921">
        <w:rPr>
          <w:sz w:val="24"/>
          <w:szCs w:val="24"/>
        </w:rPr>
        <w:t xml:space="preserve"> </w:t>
      </w:r>
    </w:p>
    <w:p w14:paraId="6BDA9201" w14:textId="57EE7230" w:rsidR="00724D08" w:rsidRPr="003D2921" w:rsidRDefault="00724D08" w:rsidP="00724D08">
      <w:pPr>
        <w:jc w:val="both"/>
        <w:rPr>
          <w:sz w:val="24"/>
          <w:szCs w:val="24"/>
        </w:rPr>
      </w:pPr>
      <w:r w:rsidRPr="003D2921">
        <w:rPr>
          <w:sz w:val="24"/>
          <w:szCs w:val="24"/>
        </w:rPr>
        <w:t>The Special Educational Needs Code of Practice lies at the heart of S</w:t>
      </w:r>
      <w:r w:rsidR="000335C6" w:rsidRPr="003D2921">
        <w:rPr>
          <w:sz w:val="24"/>
          <w:szCs w:val="24"/>
        </w:rPr>
        <w:t>teeton</w:t>
      </w:r>
      <w:r w:rsidRPr="003D2921">
        <w:rPr>
          <w:sz w:val="24"/>
          <w:szCs w:val="24"/>
        </w:rPr>
        <w:t xml:space="preserve">’s SEND policy and sets out the processes and procedures that we follow to meet the needs of our children. The Code describes a graduated approach which recognises that children learn in different ways and </w:t>
      </w:r>
      <w:r w:rsidR="00F311EF">
        <w:rPr>
          <w:sz w:val="24"/>
          <w:szCs w:val="24"/>
        </w:rPr>
        <w:t xml:space="preserve">have different learning needs. </w:t>
      </w:r>
    </w:p>
    <w:p w14:paraId="6F678381" w14:textId="61A28BB0" w:rsidR="00692F10" w:rsidRDefault="00724D08" w:rsidP="00724D08">
      <w:pPr>
        <w:jc w:val="both"/>
        <w:rPr>
          <w:sz w:val="24"/>
          <w:szCs w:val="24"/>
        </w:rPr>
      </w:pPr>
      <w:r w:rsidRPr="003D2921">
        <w:rPr>
          <w:sz w:val="24"/>
          <w:szCs w:val="24"/>
        </w:rPr>
        <w:t xml:space="preserve">Following Bradford Education’s guidance, we determine the range of SEND a child may have.  This is done using the ‘Bradford Matrix of Need’.  </w:t>
      </w:r>
    </w:p>
    <w:p w14:paraId="33D5D015" w14:textId="1DF64E03" w:rsidR="00692F10" w:rsidRDefault="00692F10" w:rsidP="00724D08">
      <w:pPr>
        <w:jc w:val="both"/>
        <w:rPr>
          <w:sz w:val="24"/>
          <w:szCs w:val="24"/>
        </w:rPr>
      </w:pPr>
      <w:r>
        <w:rPr>
          <w:sz w:val="24"/>
          <w:szCs w:val="24"/>
        </w:rPr>
        <w:t xml:space="preserve">We have a considered and bespoke offer that reflects the range of need that we see within school. </w:t>
      </w:r>
    </w:p>
    <w:p w14:paraId="0D1B8197" w14:textId="5CFB76B6" w:rsidR="00692F10" w:rsidRDefault="00692F10" w:rsidP="00724D08">
      <w:pPr>
        <w:jc w:val="both"/>
        <w:rPr>
          <w:sz w:val="24"/>
          <w:szCs w:val="24"/>
        </w:rPr>
      </w:pPr>
      <w:r>
        <w:rPr>
          <w:sz w:val="24"/>
          <w:szCs w:val="24"/>
        </w:rPr>
        <w:t xml:space="preserve">Our universal offer targets all our SEND children with the aim of creating an inclusive and manageable classroom environment. This allows all children to access the classroom and creates a space which provides them the best opportunities to make progress within their learning. </w:t>
      </w:r>
    </w:p>
    <w:p w14:paraId="5EDA0E6D" w14:textId="3E3BE7F6" w:rsidR="00692F10" w:rsidRDefault="00692F10" w:rsidP="00724D08">
      <w:pPr>
        <w:jc w:val="both"/>
        <w:rPr>
          <w:sz w:val="24"/>
          <w:szCs w:val="24"/>
        </w:rPr>
      </w:pPr>
      <w:r>
        <w:rPr>
          <w:sz w:val="24"/>
          <w:szCs w:val="24"/>
        </w:rPr>
        <w:t xml:space="preserve">Our targeted offer supports those children who are a little more complex and includes the training and CPD our staff receive to support our primary need of communication and interaction across school. This is the most common area our children struggle with. We ensure staff are trained appropriately and are supported in creating an accessible curriculum for our children. This also may include some intervention outside of the classroom when appropriate. </w:t>
      </w:r>
    </w:p>
    <w:p w14:paraId="35C0375F" w14:textId="2C3C54C3" w:rsidR="00692F10" w:rsidRDefault="00692F10" w:rsidP="00724D08">
      <w:pPr>
        <w:jc w:val="both"/>
        <w:rPr>
          <w:sz w:val="24"/>
          <w:szCs w:val="24"/>
        </w:rPr>
      </w:pPr>
      <w:r>
        <w:rPr>
          <w:sz w:val="24"/>
          <w:szCs w:val="24"/>
        </w:rPr>
        <w:t xml:space="preserve">Our individual offer is for those children who are very complex. This would typically include, but is not exclusive to children with an EHCP. This offer is well managed, regularly reviewed and implemented by appropriately trained and compassionate staff. </w:t>
      </w:r>
    </w:p>
    <w:p w14:paraId="218C7A35" w14:textId="6D9DA268" w:rsidR="00692F10" w:rsidRDefault="00692F10" w:rsidP="00724D08">
      <w:pPr>
        <w:jc w:val="both"/>
        <w:rPr>
          <w:sz w:val="24"/>
          <w:szCs w:val="24"/>
        </w:rPr>
      </w:pPr>
      <w:r>
        <w:rPr>
          <w:sz w:val="24"/>
          <w:szCs w:val="24"/>
        </w:rPr>
        <w:t xml:space="preserve">At every level of support, staff are involved and are passionate stakeholders in creating positive outcomes for our most vulnerable children. Leaders are drivers in ensuring that every child’s need it meet and Senior Leadership is compassionate and open to changes that need to be made for our children. </w:t>
      </w:r>
    </w:p>
    <w:p w14:paraId="536C4F3D" w14:textId="3B74BAF9" w:rsidR="00692F10" w:rsidRDefault="00692F10" w:rsidP="00724D08">
      <w:pPr>
        <w:jc w:val="both"/>
        <w:rPr>
          <w:sz w:val="24"/>
          <w:szCs w:val="24"/>
        </w:rPr>
      </w:pPr>
      <w:r>
        <w:rPr>
          <w:sz w:val="24"/>
          <w:szCs w:val="24"/>
        </w:rPr>
        <w:t xml:space="preserve">This level of care and offer of support for children at Steeton not only benefits our SEND children but all our children at Steeton Primary School. </w:t>
      </w:r>
    </w:p>
    <w:p w14:paraId="7FD87665" w14:textId="77777777" w:rsidR="00724D08" w:rsidRPr="003D2921" w:rsidRDefault="00724D08" w:rsidP="00724D08">
      <w:pPr>
        <w:jc w:val="both"/>
        <w:rPr>
          <w:b/>
          <w:sz w:val="24"/>
          <w:szCs w:val="24"/>
        </w:rPr>
      </w:pPr>
      <w:r w:rsidRPr="003D2921">
        <w:rPr>
          <w:b/>
          <w:sz w:val="24"/>
          <w:szCs w:val="24"/>
        </w:rPr>
        <w:lastRenderedPageBreak/>
        <w:t>Policies</w:t>
      </w:r>
    </w:p>
    <w:p w14:paraId="2E42FD73" w14:textId="77777777" w:rsidR="00724D08" w:rsidRPr="003D2921" w:rsidRDefault="00724D08" w:rsidP="00724D08">
      <w:pPr>
        <w:jc w:val="both"/>
        <w:rPr>
          <w:b/>
          <w:sz w:val="24"/>
          <w:szCs w:val="24"/>
        </w:rPr>
      </w:pPr>
      <w:r w:rsidRPr="003D2921">
        <w:rPr>
          <w:sz w:val="24"/>
          <w:szCs w:val="24"/>
        </w:rPr>
        <w:t>Our SEND Policy is reviewed annually.</w:t>
      </w:r>
      <w:r w:rsidRPr="003D2921">
        <w:rPr>
          <w:b/>
          <w:sz w:val="24"/>
          <w:szCs w:val="24"/>
        </w:rPr>
        <w:t xml:space="preserve"> </w:t>
      </w:r>
    </w:p>
    <w:p w14:paraId="5B01E8E3" w14:textId="77777777" w:rsidR="00724D08" w:rsidRPr="003D2921" w:rsidRDefault="00724D08" w:rsidP="00724D08">
      <w:pPr>
        <w:jc w:val="both"/>
        <w:rPr>
          <w:b/>
          <w:sz w:val="24"/>
          <w:szCs w:val="24"/>
        </w:rPr>
      </w:pPr>
      <w:r w:rsidRPr="003D2921">
        <w:rPr>
          <w:b/>
          <w:sz w:val="24"/>
          <w:szCs w:val="24"/>
        </w:rPr>
        <w:t>Key Personnel</w:t>
      </w:r>
    </w:p>
    <w:p w14:paraId="73502A92" w14:textId="77777777" w:rsidR="00724D08" w:rsidRPr="003D2921" w:rsidRDefault="00724D08" w:rsidP="00724D08">
      <w:pPr>
        <w:pStyle w:val="MediumGrid21"/>
        <w:jc w:val="both"/>
        <w:rPr>
          <w:sz w:val="24"/>
          <w:szCs w:val="24"/>
        </w:rPr>
      </w:pPr>
      <w:r w:rsidRPr="003D2921">
        <w:rPr>
          <w:sz w:val="24"/>
          <w:szCs w:val="24"/>
        </w:rPr>
        <w:t xml:space="preserve">SENDCo: Miss </w:t>
      </w:r>
      <w:r w:rsidR="000335C6" w:rsidRPr="003D2921">
        <w:rPr>
          <w:sz w:val="24"/>
          <w:szCs w:val="24"/>
        </w:rPr>
        <w:t>Jade Wilson</w:t>
      </w:r>
    </w:p>
    <w:p w14:paraId="657E28A2" w14:textId="77777777" w:rsidR="00724D08" w:rsidRPr="003D2921" w:rsidRDefault="00724D08" w:rsidP="00724D08">
      <w:pPr>
        <w:pStyle w:val="MediumGrid21"/>
        <w:jc w:val="both"/>
        <w:rPr>
          <w:sz w:val="24"/>
          <w:szCs w:val="24"/>
        </w:rPr>
      </w:pPr>
    </w:p>
    <w:p w14:paraId="2AF5A68E" w14:textId="4D181C74" w:rsidR="00724D08" w:rsidRPr="003D2921" w:rsidRDefault="00724D08" w:rsidP="00724D08">
      <w:pPr>
        <w:jc w:val="both"/>
        <w:rPr>
          <w:b/>
          <w:sz w:val="24"/>
          <w:szCs w:val="24"/>
        </w:rPr>
      </w:pPr>
      <w:r w:rsidRPr="003D2921">
        <w:rPr>
          <w:sz w:val="24"/>
          <w:szCs w:val="24"/>
        </w:rPr>
        <w:t>SEND</w:t>
      </w:r>
      <w:r w:rsidR="009117DA" w:rsidRPr="003D2921">
        <w:rPr>
          <w:sz w:val="24"/>
          <w:szCs w:val="24"/>
        </w:rPr>
        <w:t>/Lead</w:t>
      </w:r>
      <w:r w:rsidRPr="003D2921">
        <w:rPr>
          <w:sz w:val="24"/>
          <w:szCs w:val="24"/>
        </w:rPr>
        <w:t xml:space="preserve"> Governor: </w:t>
      </w:r>
      <w:r w:rsidR="000335C6" w:rsidRPr="003D2921">
        <w:rPr>
          <w:sz w:val="24"/>
          <w:szCs w:val="24"/>
        </w:rPr>
        <w:t xml:space="preserve">Mrs Sue West </w:t>
      </w:r>
    </w:p>
    <w:p w14:paraId="45B3F310" w14:textId="77777777" w:rsidR="003D2921" w:rsidRPr="003D2921" w:rsidRDefault="003D2921" w:rsidP="003D2921">
      <w:pPr>
        <w:jc w:val="both"/>
        <w:rPr>
          <w:rFonts w:asciiTheme="minorHAnsi" w:hAnsiTheme="minorHAnsi" w:cstheme="minorHAnsi"/>
          <w:b/>
          <w:sz w:val="24"/>
          <w:szCs w:val="24"/>
        </w:rPr>
      </w:pPr>
      <w:r w:rsidRPr="003D2921">
        <w:rPr>
          <w:rFonts w:asciiTheme="minorHAnsi" w:hAnsiTheme="minorHAnsi" w:cstheme="minorHAnsi"/>
          <w:b/>
          <w:sz w:val="24"/>
          <w:szCs w:val="24"/>
        </w:rPr>
        <w:t>External Agencies</w:t>
      </w:r>
    </w:p>
    <w:p w14:paraId="2423CB01" w14:textId="77777777" w:rsidR="00AA2C74" w:rsidRPr="00AA2C74" w:rsidRDefault="00AA2C74" w:rsidP="00AA2C74">
      <w:pPr>
        <w:widowControl w:val="0"/>
        <w:rPr>
          <w:rFonts w:asciiTheme="minorHAnsi" w:hAnsiTheme="minorHAnsi" w:cstheme="minorHAnsi"/>
          <w:sz w:val="24"/>
          <w:szCs w:val="24"/>
          <w:lang w:eastAsia="en-GB"/>
        </w:rPr>
      </w:pPr>
      <w:r w:rsidRPr="00AA2C74">
        <w:rPr>
          <w:rFonts w:asciiTheme="minorHAnsi" w:hAnsiTheme="minorHAnsi" w:cstheme="minorHAnsi"/>
          <w:sz w:val="24"/>
          <w:szCs w:val="24"/>
        </w:rPr>
        <w:t xml:space="preserve">Airedale Speech and Language Therapy </w:t>
      </w:r>
    </w:p>
    <w:p w14:paraId="0C2FB3BE"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The Virtual School for Looked After Children </w:t>
      </w:r>
    </w:p>
    <w:p w14:paraId="1D0F335A"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The School Nursing Service </w:t>
      </w:r>
    </w:p>
    <w:p w14:paraId="6B31C76E"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CAHMs Team </w:t>
      </w:r>
    </w:p>
    <w:p w14:paraId="6FBCA897"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Early Help Service </w:t>
      </w:r>
    </w:p>
    <w:p w14:paraId="1A370B68"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Occupational Therapist</w:t>
      </w:r>
    </w:p>
    <w:p w14:paraId="4CBD6674"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Special School Outreach Service </w:t>
      </w:r>
    </w:p>
    <w:p w14:paraId="19104988" w14:textId="77777777" w:rsidR="00AA2C74" w:rsidRP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Children Development Centre – Airedale </w:t>
      </w:r>
    </w:p>
    <w:p w14:paraId="0DDB769C" w14:textId="5AD1DFCC" w:rsidR="00AA2C74" w:rsidRDefault="00AA2C74" w:rsidP="00AA2C74">
      <w:pPr>
        <w:widowControl w:val="0"/>
        <w:rPr>
          <w:rFonts w:asciiTheme="minorHAnsi" w:hAnsiTheme="minorHAnsi" w:cstheme="minorHAnsi"/>
          <w:sz w:val="24"/>
          <w:szCs w:val="24"/>
        </w:rPr>
      </w:pPr>
      <w:r w:rsidRPr="00AA2C74">
        <w:rPr>
          <w:rFonts w:asciiTheme="minorHAnsi" w:hAnsiTheme="minorHAnsi" w:cstheme="minorHAnsi"/>
          <w:sz w:val="24"/>
          <w:szCs w:val="24"/>
        </w:rPr>
        <w:t xml:space="preserve">SEN Case Workers </w:t>
      </w:r>
    </w:p>
    <w:p w14:paraId="4812A1D4" w14:textId="533E7ECD" w:rsidR="003D2921" w:rsidRPr="003D2921" w:rsidRDefault="00AA2C74" w:rsidP="003D2921">
      <w:pPr>
        <w:widowControl w:val="0"/>
        <w:rPr>
          <w:rFonts w:asciiTheme="minorHAnsi" w:hAnsiTheme="minorHAnsi" w:cstheme="minorHAnsi"/>
          <w:sz w:val="24"/>
          <w:szCs w:val="24"/>
        </w:rPr>
      </w:pPr>
      <w:r>
        <w:rPr>
          <w:rFonts w:asciiTheme="minorHAnsi" w:hAnsiTheme="minorHAnsi" w:cstheme="minorHAnsi"/>
          <w:sz w:val="24"/>
          <w:szCs w:val="24"/>
        </w:rPr>
        <w:t xml:space="preserve">SCIL Team </w:t>
      </w:r>
      <w:r>
        <w:t> </w:t>
      </w:r>
      <w:r w:rsidR="003D2921" w:rsidRPr="003D2921">
        <w:rPr>
          <w:rFonts w:asciiTheme="minorHAnsi" w:hAnsiTheme="minorHAnsi" w:cstheme="minorHAnsi"/>
          <w:sz w:val="24"/>
          <w:szCs w:val="24"/>
        </w:rPr>
        <w:t> </w:t>
      </w:r>
    </w:p>
    <w:p w14:paraId="0DD72141" w14:textId="77777777" w:rsidR="003D2921" w:rsidRPr="003D2921" w:rsidRDefault="003D2921" w:rsidP="003D2921">
      <w:pPr>
        <w:widowControl w:val="0"/>
        <w:rPr>
          <w:rFonts w:asciiTheme="minorHAnsi" w:hAnsiTheme="minorHAnsi" w:cstheme="minorHAnsi"/>
          <w:sz w:val="24"/>
          <w:szCs w:val="24"/>
          <w:u w:val="single"/>
        </w:rPr>
      </w:pPr>
      <w:r w:rsidRPr="003D2921">
        <w:rPr>
          <w:rFonts w:asciiTheme="minorHAnsi" w:hAnsiTheme="minorHAnsi" w:cstheme="minorHAnsi"/>
          <w:sz w:val="24"/>
          <w:szCs w:val="24"/>
          <w:u w:val="single"/>
        </w:rPr>
        <w:t xml:space="preserve">Traded </w:t>
      </w:r>
    </w:p>
    <w:p w14:paraId="112368EC" w14:textId="77777777" w:rsidR="003D2921" w:rsidRPr="003D2921" w:rsidRDefault="003D2921" w:rsidP="003D2921">
      <w:pPr>
        <w:widowControl w:val="0"/>
        <w:rPr>
          <w:rFonts w:asciiTheme="minorHAnsi" w:hAnsiTheme="minorHAnsi" w:cstheme="minorHAnsi"/>
          <w:sz w:val="24"/>
          <w:szCs w:val="24"/>
        </w:rPr>
      </w:pPr>
      <w:r w:rsidRPr="003D2921">
        <w:rPr>
          <w:rFonts w:asciiTheme="minorHAnsi" w:hAnsiTheme="minorHAnsi" w:cstheme="minorHAnsi"/>
          <w:sz w:val="24"/>
          <w:szCs w:val="24"/>
        </w:rPr>
        <w:t xml:space="preserve">Educational Psychologist </w:t>
      </w:r>
    </w:p>
    <w:p w14:paraId="167CE2F4" w14:textId="77777777" w:rsidR="003D2921" w:rsidRPr="003D2921" w:rsidRDefault="003D2921" w:rsidP="003D2921">
      <w:pPr>
        <w:widowControl w:val="0"/>
        <w:rPr>
          <w:rFonts w:asciiTheme="minorHAnsi" w:hAnsiTheme="minorHAnsi" w:cstheme="minorHAnsi"/>
          <w:sz w:val="24"/>
          <w:szCs w:val="24"/>
        </w:rPr>
      </w:pPr>
      <w:r w:rsidRPr="003D2921">
        <w:rPr>
          <w:rFonts w:asciiTheme="minorHAnsi" w:hAnsiTheme="minorHAnsi" w:cstheme="minorHAnsi"/>
          <w:sz w:val="24"/>
          <w:szCs w:val="24"/>
        </w:rPr>
        <w:t xml:space="preserve">ARC Consultancy </w:t>
      </w:r>
    </w:p>
    <w:p w14:paraId="05FC463F" w14:textId="77777777" w:rsidR="00724D08" w:rsidRPr="003D2921" w:rsidRDefault="00724D08" w:rsidP="00724D08">
      <w:pPr>
        <w:pStyle w:val="MediumGrid21"/>
        <w:jc w:val="both"/>
        <w:rPr>
          <w:b/>
          <w:sz w:val="24"/>
          <w:szCs w:val="24"/>
        </w:rPr>
      </w:pPr>
      <w:r w:rsidRPr="003D2921">
        <w:rPr>
          <w:b/>
          <w:sz w:val="24"/>
          <w:szCs w:val="24"/>
        </w:rPr>
        <w:t>Liaison with Nursery and School Partners</w:t>
      </w:r>
    </w:p>
    <w:p w14:paraId="3A1F9E0D" w14:textId="77777777" w:rsidR="000335C6" w:rsidRPr="003D2921" w:rsidRDefault="000335C6" w:rsidP="00724D08">
      <w:pPr>
        <w:pStyle w:val="MediumGrid21"/>
        <w:jc w:val="both"/>
        <w:rPr>
          <w:b/>
          <w:sz w:val="24"/>
          <w:szCs w:val="24"/>
        </w:rPr>
      </w:pPr>
    </w:p>
    <w:p w14:paraId="3D08BB25" w14:textId="445FBB1E" w:rsidR="00AA2C74" w:rsidRDefault="00724D08" w:rsidP="00724D08">
      <w:pPr>
        <w:pStyle w:val="MediumGrid21"/>
        <w:jc w:val="both"/>
        <w:rPr>
          <w:sz w:val="24"/>
          <w:szCs w:val="24"/>
        </w:rPr>
      </w:pPr>
      <w:r w:rsidRPr="003D2921">
        <w:rPr>
          <w:sz w:val="24"/>
          <w:szCs w:val="24"/>
        </w:rPr>
        <w:t xml:space="preserve">We have links with our local Nurseries and parents, with a thorough transition process for all children that enter our reception. </w:t>
      </w:r>
      <w:r w:rsidR="000335C6" w:rsidRPr="003D2921">
        <w:rPr>
          <w:sz w:val="24"/>
          <w:szCs w:val="24"/>
        </w:rPr>
        <w:t>This includes home visits by our reception staff which are made prior to children starting</w:t>
      </w:r>
      <w:r w:rsidR="00AA2C74">
        <w:rPr>
          <w:sz w:val="24"/>
          <w:szCs w:val="24"/>
        </w:rPr>
        <w:t xml:space="preserve">, stay and play sessions which parents are invited to attend and an invitation sent by our SENDCo to every nursery provider to meet and discuss the needs of any SEN children who will be transferring to Steeton Primary School. </w:t>
      </w:r>
    </w:p>
    <w:p w14:paraId="279A474A" w14:textId="5E55C071" w:rsidR="00AA2C74" w:rsidRDefault="00AA2C74" w:rsidP="00724D08">
      <w:pPr>
        <w:pStyle w:val="MediumGrid21"/>
        <w:jc w:val="both"/>
        <w:rPr>
          <w:sz w:val="24"/>
          <w:szCs w:val="24"/>
        </w:rPr>
      </w:pPr>
      <w:r>
        <w:rPr>
          <w:sz w:val="24"/>
          <w:szCs w:val="24"/>
        </w:rPr>
        <w:t xml:space="preserve">New parents are also invited to our new </w:t>
      </w:r>
      <w:r w:rsidR="009C7A89">
        <w:rPr>
          <w:sz w:val="24"/>
          <w:szCs w:val="24"/>
        </w:rPr>
        <w:t>parents’</w:t>
      </w:r>
      <w:r>
        <w:rPr>
          <w:sz w:val="24"/>
          <w:szCs w:val="24"/>
        </w:rPr>
        <w:t xml:space="preserve"> session which is led by our headteacher and we regularly hold open days for new starters. </w:t>
      </w:r>
    </w:p>
    <w:p w14:paraId="4312D41A" w14:textId="77777777" w:rsidR="00AA2C74" w:rsidRPr="003D2921" w:rsidRDefault="00AA2C74" w:rsidP="00724D08">
      <w:pPr>
        <w:pStyle w:val="MediumGrid21"/>
        <w:jc w:val="both"/>
        <w:rPr>
          <w:sz w:val="24"/>
          <w:szCs w:val="24"/>
        </w:rPr>
      </w:pPr>
    </w:p>
    <w:p w14:paraId="7EF8A7D5" w14:textId="77777777" w:rsidR="00724D08" w:rsidRPr="003D2921" w:rsidRDefault="00724D08" w:rsidP="00724D08">
      <w:pPr>
        <w:pStyle w:val="MediumGrid21"/>
        <w:jc w:val="both"/>
        <w:rPr>
          <w:sz w:val="24"/>
          <w:szCs w:val="24"/>
        </w:rPr>
      </w:pPr>
      <w:r w:rsidRPr="003D2921">
        <w:rPr>
          <w:sz w:val="24"/>
          <w:szCs w:val="24"/>
        </w:rPr>
        <w:t>Transition meetings take place between SEN</w:t>
      </w:r>
      <w:r w:rsidR="00DE0B21" w:rsidRPr="003D2921">
        <w:rPr>
          <w:sz w:val="24"/>
          <w:szCs w:val="24"/>
        </w:rPr>
        <w:t>D</w:t>
      </w:r>
      <w:r w:rsidRPr="003D2921">
        <w:rPr>
          <w:sz w:val="24"/>
          <w:szCs w:val="24"/>
        </w:rPr>
        <w:t xml:space="preserve">COs when pupils move to Secondary School. This is to ensure accurate and efficient transfer of records and information in order to minimise the disruption of support levels for pupils. Separate transition and induction visits are set up for pupils with SEN where required.  </w:t>
      </w:r>
      <w:r w:rsidR="000335C6" w:rsidRPr="003D2921">
        <w:rPr>
          <w:sz w:val="24"/>
          <w:szCs w:val="24"/>
        </w:rPr>
        <w:t>C</w:t>
      </w:r>
      <w:r w:rsidRPr="003D2921">
        <w:rPr>
          <w:sz w:val="24"/>
          <w:szCs w:val="24"/>
        </w:rPr>
        <w:t xml:space="preserve">hildren with EHCPs who are moving to secondary school </w:t>
      </w:r>
      <w:r w:rsidR="000335C6" w:rsidRPr="003D2921">
        <w:rPr>
          <w:sz w:val="24"/>
          <w:szCs w:val="24"/>
        </w:rPr>
        <w:t>are</w:t>
      </w:r>
      <w:r w:rsidRPr="003D2921">
        <w:rPr>
          <w:sz w:val="24"/>
          <w:szCs w:val="24"/>
        </w:rPr>
        <w:t xml:space="preserve"> visited by their new SEN</w:t>
      </w:r>
      <w:r w:rsidR="00DE0B21" w:rsidRPr="003D2921">
        <w:rPr>
          <w:sz w:val="24"/>
          <w:szCs w:val="24"/>
        </w:rPr>
        <w:t>D</w:t>
      </w:r>
      <w:r w:rsidRPr="003D2921">
        <w:rPr>
          <w:sz w:val="24"/>
          <w:szCs w:val="24"/>
        </w:rPr>
        <w:t>Co and teacher</w:t>
      </w:r>
      <w:r w:rsidR="000335C6" w:rsidRPr="003D2921">
        <w:rPr>
          <w:sz w:val="24"/>
          <w:szCs w:val="24"/>
        </w:rPr>
        <w:t>,</w:t>
      </w:r>
      <w:r w:rsidRPr="003D2921">
        <w:rPr>
          <w:sz w:val="24"/>
          <w:szCs w:val="24"/>
        </w:rPr>
        <w:t xml:space="preserve"> and </w:t>
      </w:r>
      <w:r w:rsidR="000335C6" w:rsidRPr="003D2921">
        <w:rPr>
          <w:sz w:val="24"/>
          <w:szCs w:val="24"/>
        </w:rPr>
        <w:t>will have additional visits and transition days with their new school</w:t>
      </w:r>
      <w:r w:rsidRPr="003D2921">
        <w:rPr>
          <w:sz w:val="24"/>
          <w:szCs w:val="24"/>
        </w:rPr>
        <w:t>.  During these visits</w:t>
      </w:r>
      <w:r w:rsidR="003D4BA3" w:rsidRPr="003D2921">
        <w:rPr>
          <w:sz w:val="24"/>
          <w:szCs w:val="24"/>
        </w:rPr>
        <w:t>,</w:t>
      </w:r>
      <w:r w:rsidRPr="003D2921">
        <w:rPr>
          <w:sz w:val="24"/>
          <w:szCs w:val="24"/>
        </w:rPr>
        <w:t xml:space="preserve"> they me</w:t>
      </w:r>
      <w:r w:rsidR="000335C6" w:rsidRPr="003D2921">
        <w:rPr>
          <w:sz w:val="24"/>
          <w:szCs w:val="24"/>
        </w:rPr>
        <w:t>e</w:t>
      </w:r>
      <w:r w:rsidRPr="003D2921">
        <w:rPr>
          <w:sz w:val="24"/>
          <w:szCs w:val="24"/>
        </w:rPr>
        <w:t xml:space="preserve">t key adults and look </w:t>
      </w:r>
      <w:r w:rsidRPr="003D2921">
        <w:rPr>
          <w:sz w:val="24"/>
          <w:szCs w:val="24"/>
        </w:rPr>
        <w:lastRenderedPageBreak/>
        <w:t>around the areas of the school that will be important to them.  Paper work will be sent to the new schools in September</w:t>
      </w:r>
      <w:r w:rsidR="00824346" w:rsidRPr="003D2921">
        <w:rPr>
          <w:sz w:val="24"/>
          <w:szCs w:val="24"/>
        </w:rPr>
        <w:t xml:space="preserve"> or at the SEN transition meetings. </w:t>
      </w:r>
    </w:p>
    <w:p w14:paraId="244B9F0D" w14:textId="77777777" w:rsidR="00724D08" w:rsidRPr="003D2921" w:rsidRDefault="00724D08" w:rsidP="00724D08">
      <w:pPr>
        <w:pStyle w:val="MediumGrid21"/>
        <w:jc w:val="both"/>
        <w:rPr>
          <w:sz w:val="24"/>
          <w:szCs w:val="24"/>
        </w:rPr>
      </w:pPr>
    </w:p>
    <w:p w14:paraId="31C2B3BD" w14:textId="6F288CFD" w:rsidR="003D2921" w:rsidRDefault="009C7A89" w:rsidP="00724D08">
      <w:pPr>
        <w:pStyle w:val="MediumGrid21"/>
        <w:jc w:val="both"/>
        <w:rPr>
          <w:b/>
          <w:sz w:val="24"/>
          <w:szCs w:val="24"/>
        </w:rPr>
      </w:pPr>
      <w:r>
        <w:rPr>
          <w:b/>
          <w:sz w:val="24"/>
          <w:szCs w:val="24"/>
        </w:rPr>
        <w:t xml:space="preserve">June 2025 </w:t>
      </w:r>
    </w:p>
    <w:p w14:paraId="40BF8EB6" w14:textId="0FD2C120" w:rsidR="003D2921" w:rsidRDefault="003D2921" w:rsidP="00724D08">
      <w:pPr>
        <w:pStyle w:val="MediumGrid21"/>
        <w:jc w:val="both"/>
        <w:rPr>
          <w:b/>
          <w:sz w:val="24"/>
          <w:szCs w:val="24"/>
        </w:rPr>
      </w:pPr>
    </w:p>
    <w:tbl>
      <w:tblPr>
        <w:tblStyle w:val="TableGrid"/>
        <w:tblW w:w="0" w:type="auto"/>
        <w:tblLook w:val="04A0" w:firstRow="1" w:lastRow="0" w:firstColumn="1" w:lastColumn="0" w:noHBand="0" w:noVBand="1"/>
      </w:tblPr>
      <w:tblGrid>
        <w:gridCol w:w="3397"/>
        <w:gridCol w:w="1134"/>
        <w:gridCol w:w="1276"/>
      </w:tblGrid>
      <w:tr w:rsidR="003D2921" w14:paraId="4ED35DDE" w14:textId="77777777" w:rsidTr="00AA2C74">
        <w:tc>
          <w:tcPr>
            <w:tcW w:w="3397" w:type="dxa"/>
            <w:shd w:val="clear" w:color="auto" w:fill="E7E6E6" w:themeFill="background2"/>
          </w:tcPr>
          <w:p w14:paraId="29DD9E58" w14:textId="53035469" w:rsidR="003D2921" w:rsidRDefault="003D2921" w:rsidP="00724D08">
            <w:pPr>
              <w:pStyle w:val="MediumGrid21"/>
              <w:jc w:val="both"/>
              <w:rPr>
                <w:b/>
                <w:sz w:val="24"/>
                <w:szCs w:val="24"/>
              </w:rPr>
            </w:pPr>
            <w:r w:rsidRPr="003D2921">
              <w:rPr>
                <w:sz w:val="24"/>
                <w:szCs w:val="24"/>
              </w:rPr>
              <w:t xml:space="preserve">Number of Pupils on Roll:         </w:t>
            </w:r>
          </w:p>
        </w:tc>
        <w:tc>
          <w:tcPr>
            <w:tcW w:w="1134" w:type="dxa"/>
            <w:shd w:val="clear" w:color="auto" w:fill="E7E6E6" w:themeFill="background2"/>
          </w:tcPr>
          <w:p w14:paraId="36104FF7" w14:textId="04C0D528" w:rsidR="003D2921" w:rsidRDefault="003D2921" w:rsidP="46EEB9CC">
            <w:pPr>
              <w:pStyle w:val="MediumGrid21"/>
              <w:jc w:val="both"/>
              <w:rPr>
                <w:sz w:val="24"/>
                <w:szCs w:val="24"/>
              </w:rPr>
            </w:pPr>
          </w:p>
        </w:tc>
        <w:tc>
          <w:tcPr>
            <w:tcW w:w="1276" w:type="dxa"/>
            <w:shd w:val="clear" w:color="auto" w:fill="E7E6E6" w:themeFill="background2"/>
          </w:tcPr>
          <w:p w14:paraId="2AD880D6" w14:textId="4FB161C5" w:rsidR="003D2921" w:rsidRDefault="0879B69B" w:rsidP="46EEB9CC">
            <w:pPr>
              <w:pStyle w:val="MediumGrid21"/>
              <w:jc w:val="both"/>
              <w:rPr>
                <w:b/>
                <w:bCs/>
                <w:sz w:val="24"/>
                <w:szCs w:val="24"/>
              </w:rPr>
            </w:pPr>
            <w:r w:rsidRPr="46EEB9CC">
              <w:rPr>
                <w:sz w:val="24"/>
                <w:szCs w:val="24"/>
              </w:rPr>
              <w:t>2</w:t>
            </w:r>
            <w:r w:rsidR="009C7A89">
              <w:rPr>
                <w:sz w:val="24"/>
                <w:szCs w:val="24"/>
              </w:rPr>
              <w:t>72</w:t>
            </w:r>
          </w:p>
        </w:tc>
      </w:tr>
      <w:tr w:rsidR="003D2921" w14:paraId="035E21D2" w14:textId="77777777" w:rsidTr="00AA2C74">
        <w:tc>
          <w:tcPr>
            <w:tcW w:w="3397" w:type="dxa"/>
            <w:shd w:val="clear" w:color="auto" w:fill="E7E6E6" w:themeFill="background2"/>
          </w:tcPr>
          <w:p w14:paraId="1DC4FC78" w14:textId="404CB406" w:rsidR="003D2921" w:rsidRDefault="003D2921" w:rsidP="00724D08">
            <w:pPr>
              <w:pStyle w:val="MediumGrid21"/>
              <w:jc w:val="both"/>
              <w:rPr>
                <w:b/>
                <w:sz w:val="24"/>
                <w:szCs w:val="24"/>
              </w:rPr>
            </w:pPr>
            <w:r w:rsidRPr="003D2921">
              <w:rPr>
                <w:sz w:val="24"/>
                <w:szCs w:val="24"/>
              </w:rPr>
              <w:t>Numbers of Pupils with SEND:</w:t>
            </w:r>
          </w:p>
        </w:tc>
        <w:tc>
          <w:tcPr>
            <w:tcW w:w="1134" w:type="dxa"/>
            <w:shd w:val="clear" w:color="auto" w:fill="E7E6E6" w:themeFill="background2"/>
          </w:tcPr>
          <w:p w14:paraId="291653DF" w14:textId="0A7E58E2" w:rsidR="003D2921" w:rsidRPr="00AA2C74" w:rsidRDefault="009C7A89" w:rsidP="00724D08">
            <w:pPr>
              <w:pStyle w:val="MediumGrid21"/>
              <w:jc w:val="both"/>
              <w:rPr>
                <w:sz w:val="24"/>
                <w:szCs w:val="24"/>
              </w:rPr>
            </w:pPr>
            <w:r>
              <w:rPr>
                <w:sz w:val="24"/>
                <w:szCs w:val="24"/>
              </w:rPr>
              <w:t>5</w:t>
            </w:r>
            <w:r w:rsidR="00B91C35">
              <w:rPr>
                <w:sz w:val="24"/>
                <w:szCs w:val="24"/>
              </w:rPr>
              <w:t>1</w:t>
            </w:r>
          </w:p>
        </w:tc>
        <w:tc>
          <w:tcPr>
            <w:tcW w:w="1276" w:type="dxa"/>
            <w:shd w:val="clear" w:color="auto" w:fill="E7E6E6" w:themeFill="background2"/>
          </w:tcPr>
          <w:p w14:paraId="589C6867" w14:textId="134B4715" w:rsidR="003D2921" w:rsidRPr="003D2921" w:rsidRDefault="009C7A89" w:rsidP="00724D08">
            <w:pPr>
              <w:pStyle w:val="MediumGrid21"/>
              <w:jc w:val="both"/>
              <w:rPr>
                <w:sz w:val="24"/>
                <w:szCs w:val="24"/>
              </w:rPr>
            </w:pPr>
            <w:r>
              <w:rPr>
                <w:sz w:val="24"/>
                <w:szCs w:val="24"/>
              </w:rPr>
              <w:t>18.</w:t>
            </w:r>
            <w:r w:rsidR="00B91C35">
              <w:rPr>
                <w:sz w:val="24"/>
                <w:szCs w:val="24"/>
              </w:rPr>
              <w:t>5</w:t>
            </w:r>
            <w:r>
              <w:rPr>
                <w:sz w:val="24"/>
                <w:szCs w:val="24"/>
              </w:rPr>
              <w:t>%</w:t>
            </w:r>
          </w:p>
        </w:tc>
      </w:tr>
      <w:tr w:rsidR="009C7A89" w14:paraId="6278F0FF" w14:textId="77777777" w:rsidTr="0091681F">
        <w:tc>
          <w:tcPr>
            <w:tcW w:w="5807" w:type="dxa"/>
            <w:gridSpan w:val="3"/>
          </w:tcPr>
          <w:p w14:paraId="42D43819" w14:textId="313011B0" w:rsidR="009C7A89" w:rsidRDefault="009C7A89" w:rsidP="009C7A89">
            <w:pPr>
              <w:pStyle w:val="MediumGrid21"/>
              <w:jc w:val="center"/>
              <w:rPr>
                <w:sz w:val="24"/>
                <w:szCs w:val="24"/>
              </w:rPr>
            </w:pPr>
            <w:r>
              <w:rPr>
                <w:sz w:val="24"/>
                <w:szCs w:val="24"/>
              </w:rPr>
              <w:t>SEN Register Breakdown</w:t>
            </w:r>
          </w:p>
        </w:tc>
      </w:tr>
      <w:tr w:rsidR="003D2921" w14:paraId="3448F4A5" w14:textId="77777777" w:rsidTr="46EEB9CC">
        <w:tc>
          <w:tcPr>
            <w:tcW w:w="3397" w:type="dxa"/>
          </w:tcPr>
          <w:p w14:paraId="234CDFC4" w14:textId="1B9502E1" w:rsidR="003D2921" w:rsidRPr="003D2921" w:rsidRDefault="003D2921" w:rsidP="00724D08">
            <w:pPr>
              <w:pStyle w:val="MediumGrid21"/>
              <w:jc w:val="both"/>
              <w:rPr>
                <w:sz w:val="24"/>
                <w:szCs w:val="24"/>
              </w:rPr>
            </w:pPr>
            <w:r w:rsidRPr="003D2921">
              <w:rPr>
                <w:sz w:val="24"/>
                <w:szCs w:val="24"/>
              </w:rPr>
              <w:t>Below Age Related Expectations</w:t>
            </w:r>
          </w:p>
        </w:tc>
        <w:tc>
          <w:tcPr>
            <w:tcW w:w="1134" w:type="dxa"/>
          </w:tcPr>
          <w:p w14:paraId="57312A22" w14:textId="67A0D0D8" w:rsidR="003D2921" w:rsidRDefault="003D2921" w:rsidP="00724D08">
            <w:pPr>
              <w:pStyle w:val="MediumGrid21"/>
              <w:jc w:val="both"/>
              <w:rPr>
                <w:sz w:val="24"/>
                <w:szCs w:val="24"/>
              </w:rPr>
            </w:pPr>
            <w:r>
              <w:rPr>
                <w:sz w:val="24"/>
                <w:szCs w:val="24"/>
              </w:rPr>
              <w:t>2</w:t>
            </w:r>
            <w:r w:rsidR="009C7A89">
              <w:rPr>
                <w:sz w:val="24"/>
                <w:szCs w:val="24"/>
              </w:rPr>
              <w:t>2</w:t>
            </w:r>
          </w:p>
        </w:tc>
        <w:tc>
          <w:tcPr>
            <w:tcW w:w="1276" w:type="dxa"/>
          </w:tcPr>
          <w:p w14:paraId="142A4294" w14:textId="450E0887" w:rsidR="003D2921" w:rsidRPr="003D2921" w:rsidRDefault="009C7A89" w:rsidP="00724D08">
            <w:pPr>
              <w:pStyle w:val="MediumGrid21"/>
              <w:jc w:val="both"/>
              <w:rPr>
                <w:sz w:val="24"/>
                <w:szCs w:val="24"/>
              </w:rPr>
            </w:pPr>
            <w:r>
              <w:rPr>
                <w:sz w:val="24"/>
                <w:szCs w:val="24"/>
              </w:rPr>
              <w:t>43%</w:t>
            </w:r>
          </w:p>
        </w:tc>
      </w:tr>
      <w:tr w:rsidR="003D2921" w14:paraId="4D506C22" w14:textId="77777777" w:rsidTr="46EEB9CC">
        <w:tc>
          <w:tcPr>
            <w:tcW w:w="3397" w:type="dxa"/>
          </w:tcPr>
          <w:p w14:paraId="665E0743" w14:textId="28CB3358" w:rsidR="003D2921" w:rsidRPr="003D2921" w:rsidRDefault="003D2921" w:rsidP="00724D08">
            <w:pPr>
              <w:pStyle w:val="MediumGrid21"/>
              <w:jc w:val="both"/>
              <w:rPr>
                <w:sz w:val="24"/>
                <w:szCs w:val="24"/>
              </w:rPr>
            </w:pPr>
            <w:r>
              <w:rPr>
                <w:sz w:val="24"/>
                <w:szCs w:val="24"/>
              </w:rPr>
              <w:t xml:space="preserve">SEN Support </w:t>
            </w:r>
          </w:p>
        </w:tc>
        <w:tc>
          <w:tcPr>
            <w:tcW w:w="1134" w:type="dxa"/>
          </w:tcPr>
          <w:p w14:paraId="40499159" w14:textId="26F5C663" w:rsidR="003D2921" w:rsidRDefault="009C7A89" w:rsidP="00724D08">
            <w:pPr>
              <w:pStyle w:val="MediumGrid21"/>
              <w:jc w:val="both"/>
              <w:rPr>
                <w:sz w:val="24"/>
                <w:szCs w:val="24"/>
              </w:rPr>
            </w:pPr>
            <w:r>
              <w:rPr>
                <w:sz w:val="24"/>
                <w:szCs w:val="24"/>
              </w:rPr>
              <w:t>7</w:t>
            </w:r>
          </w:p>
        </w:tc>
        <w:tc>
          <w:tcPr>
            <w:tcW w:w="1276" w:type="dxa"/>
          </w:tcPr>
          <w:p w14:paraId="6159CE69" w14:textId="236A3058" w:rsidR="003D2921" w:rsidRPr="003D2921" w:rsidRDefault="009C7A89" w:rsidP="00724D08">
            <w:pPr>
              <w:pStyle w:val="MediumGrid21"/>
              <w:jc w:val="both"/>
              <w:rPr>
                <w:sz w:val="24"/>
                <w:szCs w:val="24"/>
              </w:rPr>
            </w:pPr>
            <w:r>
              <w:rPr>
                <w:sz w:val="24"/>
                <w:szCs w:val="24"/>
              </w:rPr>
              <w:t>1</w:t>
            </w:r>
            <w:r w:rsidR="00B91C35">
              <w:rPr>
                <w:sz w:val="24"/>
                <w:szCs w:val="24"/>
              </w:rPr>
              <w:t>3</w:t>
            </w:r>
            <w:r>
              <w:rPr>
                <w:sz w:val="24"/>
                <w:szCs w:val="24"/>
              </w:rPr>
              <w:t>%</w:t>
            </w:r>
          </w:p>
        </w:tc>
      </w:tr>
      <w:tr w:rsidR="003D2921" w14:paraId="7A350A48" w14:textId="77777777" w:rsidTr="46EEB9CC">
        <w:tc>
          <w:tcPr>
            <w:tcW w:w="3397" w:type="dxa"/>
          </w:tcPr>
          <w:p w14:paraId="573312B6" w14:textId="16335F3C" w:rsidR="003D2921" w:rsidRDefault="003D2921" w:rsidP="00724D08">
            <w:pPr>
              <w:pStyle w:val="MediumGrid21"/>
              <w:jc w:val="both"/>
              <w:rPr>
                <w:sz w:val="24"/>
                <w:szCs w:val="24"/>
              </w:rPr>
            </w:pPr>
            <w:r>
              <w:rPr>
                <w:sz w:val="24"/>
                <w:szCs w:val="24"/>
              </w:rPr>
              <w:t>EHCP</w:t>
            </w:r>
          </w:p>
        </w:tc>
        <w:tc>
          <w:tcPr>
            <w:tcW w:w="1134" w:type="dxa"/>
          </w:tcPr>
          <w:p w14:paraId="5D61ABFA" w14:textId="4BD946A1" w:rsidR="003D2921" w:rsidRDefault="003D2921" w:rsidP="00724D08">
            <w:pPr>
              <w:pStyle w:val="MediumGrid21"/>
              <w:jc w:val="both"/>
              <w:rPr>
                <w:sz w:val="24"/>
                <w:szCs w:val="24"/>
              </w:rPr>
            </w:pPr>
            <w:r>
              <w:rPr>
                <w:sz w:val="24"/>
                <w:szCs w:val="24"/>
              </w:rPr>
              <w:t>5</w:t>
            </w:r>
          </w:p>
        </w:tc>
        <w:tc>
          <w:tcPr>
            <w:tcW w:w="1276" w:type="dxa"/>
          </w:tcPr>
          <w:p w14:paraId="070F8A30" w14:textId="3313F406" w:rsidR="003D2921" w:rsidRDefault="00B91C35" w:rsidP="00724D08">
            <w:pPr>
              <w:pStyle w:val="MediumGrid21"/>
              <w:jc w:val="both"/>
              <w:rPr>
                <w:sz w:val="24"/>
                <w:szCs w:val="24"/>
              </w:rPr>
            </w:pPr>
            <w:r>
              <w:rPr>
                <w:sz w:val="24"/>
                <w:szCs w:val="24"/>
              </w:rPr>
              <w:t>9</w:t>
            </w:r>
            <w:r w:rsidR="009C7A89">
              <w:rPr>
                <w:sz w:val="24"/>
                <w:szCs w:val="24"/>
              </w:rPr>
              <w:t>%</w:t>
            </w:r>
          </w:p>
        </w:tc>
      </w:tr>
      <w:tr w:rsidR="003D2921" w14:paraId="1E344633" w14:textId="77777777" w:rsidTr="46EEB9CC">
        <w:tc>
          <w:tcPr>
            <w:tcW w:w="3397" w:type="dxa"/>
          </w:tcPr>
          <w:p w14:paraId="5CFDA0EA" w14:textId="5C11896B" w:rsidR="003D2921" w:rsidRDefault="003D2921" w:rsidP="00724D08">
            <w:pPr>
              <w:pStyle w:val="MediumGrid21"/>
              <w:jc w:val="both"/>
              <w:rPr>
                <w:sz w:val="24"/>
                <w:szCs w:val="24"/>
              </w:rPr>
            </w:pPr>
            <w:r>
              <w:rPr>
                <w:sz w:val="24"/>
                <w:szCs w:val="24"/>
              </w:rPr>
              <w:t>SEMH</w:t>
            </w:r>
          </w:p>
        </w:tc>
        <w:tc>
          <w:tcPr>
            <w:tcW w:w="1134" w:type="dxa"/>
          </w:tcPr>
          <w:p w14:paraId="09131B56" w14:textId="0006A986" w:rsidR="003D2921" w:rsidRDefault="009C7A89" w:rsidP="00724D08">
            <w:pPr>
              <w:pStyle w:val="MediumGrid21"/>
              <w:jc w:val="both"/>
              <w:rPr>
                <w:sz w:val="24"/>
                <w:szCs w:val="24"/>
              </w:rPr>
            </w:pPr>
            <w:r>
              <w:rPr>
                <w:sz w:val="24"/>
                <w:szCs w:val="24"/>
              </w:rPr>
              <w:t>1</w:t>
            </w:r>
            <w:r w:rsidR="00B91C35">
              <w:rPr>
                <w:sz w:val="24"/>
                <w:szCs w:val="24"/>
              </w:rPr>
              <w:t>9</w:t>
            </w:r>
          </w:p>
        </w:tc>
        <w:tc>
          <w:tcPr>
            <w:tcW w:w="1276" w:type="dxa"/>
          </w:tcPr>
          <w:p w14:paraId="3D0C5C0D" w14:textId="50E4389E" w:rsidR="003D2921" w:rsidRDefault="009C7A89" w:rsidP="00724D08">
            <w:pPr>
              <w:pStyle w:val="MediumGrid21"/>
              <w:jc w:val="both"/>
              <w:rPr>
                <w:sz w:val="24"/>
                <w:szCs w:val="24"/>
              </w:rPr>
            </w:pPr>
            <w:r>
              <w:rPr>
                <w:sz w:val="24"/>
                <w:szCs w:val="24"/>
              </w:rPr>
              <w:t>3</w:t>
            </w:r>
            <w:r w:rsidR="00B91C35">
              <w:rPr>
                <w:sz w:val="24"/>
                <w:szCs w:val="24"/>
              </w:rPr>
              <w:t>5</w:t>
            </w:r>
            <w:r>
              <w:rPr>
                <w:sz w:val="24"/>
                <w:szCs w:val="24"/>
              </w:rPr>
              <w:t>%</w:t>
            </w:r>
          </w:p>
        </w:tc>
      </w:tr>
    </w:tbl>
    <w:p w14:paraId="26C9FB6D" w14:textId="51583742" w:rsidR="00724D08" w:rsidRPr="003D2921" w:rsidRDefault="00724D08" w:rsidP="00724D08">
      <w:pPr>
        <w:pStyle w:val="MediumGrid21"/>
        <w:jc w:val="both"/>
        <w:rPr>
          <w:sz w:val="24"/>
          <w:szCs w:val="24"/>
        </w:rPr>
      </w:pPr>
      <w:r w:rsidRPr="003D2921">
        <w:rPr>
          <w:sz w:val="24"/>
          <w:szCs w:val="24"/>
        </w:rPr>
        <w:tab/>
      </w:r>
      <w:r w:rsidRPr="003D2921">
        <w:rPr>
          <w:sz w:val="24"/>
          <w:szCs w:val="24"/>
        </w:rPr>
        <w:tab/>
      </w:r>
    </w:p>
    <w:p w14:paraId="381CFCAD" w14:textId="5E8E2449" w:rsidR="00724D08" w:rsidRPr="003D2921" w:rsidRDefault="003D2921" w:rsidP="00724D08">
      <w:pPr>
        <w:pStyle w:val="NormalWeb"/>
        <w:jc w:val="both"/>
        <w:rPr>
          <w:rFonts w:ascii="Calibri" w:hAnsi="Calibri"/>
          <w:b/>
        </w:rPr>
      </w:pPr>
      <w:r>
        <w:rPr>
          <w:rFonts w:ascii="Calibri" w:hAnsi="Calibri"/>
          <w:b/>
        </w:rPr>
        <w:t>O</w:t>
      </w:r>
      <w:r w:rsidR="00724D08" w:rsidRPr="003D2921">
        <w:rPr>
          <w:rFonts w:ascii="Calibri" w:hAnsi="Calibri"/>
          <w:b/>
        </w:rPr>
        <w:t>verview of SEN pupils</w:t>
      </w:r>
    </w:p>
    <w:p w14:paraId="4B1658AE" w14:textId="77777777" w:rsidR="00724D08" w:rsidRPr="003D2921" w:rsidRDefault="00724D08" w:rsidP="00724D08">
      <w:pPr>
        <w:pStyle w:val="MediumGrid21"/>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2837"/>
        <w:gridCol w:w="1701"/>
        <w:gridCol w:w="1701"/>
        <w:gridCol w:w="1701"/>
      </w:tblGrid>
      <w:tr w:rsidR="002E0C5A" w:rsidRPr="003D2921" w14:paraId="501C27CA" w14:textId="77777777" w:rsidTr="002E0C5A">
        <w:tc>
          <w:tcPr>
            <w:tcW w:w="1694" w:type="dxa"/>
          </w:tcPr>
          <w:p w14:paraId="3354F144" w14:textId="77777777" w:rsidR="002E0C5A" w:rsidRPr="003D2921" w:rsidRDefault="002E0C5A" w:rsidP="00724D08">
            <w:pPr>
              <w:pStyle w:val="NormalWeb"/>
              <w:jc w:val="both"/>
              <w:rPr>
                <w:rFonts w:ascii="Calibri" w:hAnsi="Calibri"/>
                <w:b/>
              </w:rPr>
            </w:pPr>
          </w:p>
        </w:tc>
        <w:tc>
          <w:tcPr>
            <w:tcW w:w="2837" w:type="dxa"/>
          </w:tcPr>
          <w:p w14:paraId="5CB88050" w14:textId="77777777" w:rsidR="002E0C5A" w:rsidRPr="003D2921" w:rsidRDefault="002E0C5A" w:rsidP="003D2921">
            <w:pPr>
              <w:pStyle w:val="NormalWeb"/>
              <w:jc w:val="center"/>
              <w:rPr>
                <w:rFonts w:ascii="Calibri" w:hAnsi="Calibri"/>
                <w:b/>
              </w:rPr>
            </w:pPr>
            <w:r w:rsidRPr="003D2921">
              <w:rPr>
                <w:rFonts w:ascii="Calibri" w:hAnsi="Calibri"/>
                <w:b/>
              </w:rPr>
              <w:t>Below Age Related Expectations</w:t>
            </w:r>
          </w:p>
        </w:tc>
        <w:tc>
          <w:tcPr>
            <w:tcW w:w="1701" w:type="dxa"/>
          </w:tcPr>
          <w:p w14:paraId="2D1F6943" w14:textId="77777777" w:rsidR="002E0C5A" w:rsidRPr="003D2921" w:rsidRDefault="002E0C5A" w:rsidP="003D2921">
            <w:pPr>
              <w:pStyle w:val="NormalWeb"/>
              <w:jc w:val="center"/>
              <w:rPr>
                <w:rFonts w:ascii="Calibri" w:hAnsi="Calibri"/>
                <w:b/>
              </w:rPr>
            </w:pPr>
            <w:r w:rsidRPr="003D2921">
              <w:rPr>
                <w:rFonts w:ascii="Calibri" w:hAnsi="Calibri"/>
                <w:b/>
              </w:rPr>
              <w:t>SEN Support</w:t>
            </w:r>
          </w:p>
        </w:tc>
        <w:tc>
          <w:tcPr>
            <w:tcW w:w="1701" w:type="dxa"/>
          </w:tcPr>
          <w:p w14:paraId="2915EDE8" w14:textId="77777777" w:rsidR="002E0C5A" w:rsidRPr="003D2921" w:rsidRDefault="002E0C5A" w:rsidP="003D2921">
            <w:pPr>
              <w:pStyle w:val="NormalWeb"/>
              <w:jc w:val="center"/>
              <w:rPr>
                <w:rFonts w:ascii="Calibri" w:hAnsi="Calibri"/>
                <w:b/>
              </w:rPr>
            </w:pPr>
            <w:r w:rsidRPr="003D2921">
              <w:rPr>
                <w:rFonts w:ascii="Calibri" w:hAnsi="Calibri"/>
                <w:b/>
              </w:rPr>
              <w:t>EHCP</w:t>
            </w:r>
          </w:p>
        </w:tc>
        <w:tc>
          <w:tcPr>
            <w:tcW w:w="1701" w:type="dxa"/>
          </w:tcPr>
          <w:p w14:paraId="4954AA75" w14:textId="77777777" w:rsidR="002E0C5A" w:rsidRPr="003D2921" w:rsidRDefault="002E0C5A" w:rsidP="003D2921">
            <w:pPr>
              <w:pStyle w:val="NormalWeb"/>
              <w:jc w:val="center"/>
              <w:rPr>
                <w:rFonts w:ascii="Calibri" w:hAnsi="Calibri"/>
                <w:b/>
              </w:rPr>
            </w:pPr>
            <w:r w:rsidRPr="003D2921">
              <w:rPr>
                <w:rFonts w:ascii="Calibri" w:hAnsi="Calibri"/>
                <w:b/>
              </w:rPr>
              <w:t>Total</w:t>
            </w:r>
          </w:p>
        </w:tc>
      </w:tr>
      <w:tr w:rsidR="002E0C5A" w:rsidRPr="003D2921" w14:paraId="7B8C9BF2" w14:textId="77777777" w:rsidTr="002E0C5A">
        <w:tc>
          <w:tcPr>
            <w:tcW w:w="1694" w:type="dxa"/>
          </w:tcPr>
          <w:p w14:paraId="632F4FB1" w14:textId="77777777" w:rsidR="002E0C5A" w:rsidRPr="003D2921" w:rsidRDefault="002E0C5A" w:rsidP="00724D08">
            <w:pPr>
              <w:pStyle w:val="NormalWeb"/>
              <w:jc w:val="both"/>
              <w:rPr>
                <w:rFonts w:ascii="Calibri" w:hAnsi="Calibri"/>
                <w:b/>
              </w:rPr>
            </w:pPr>
            <w:r w:rsidRPr="003D2921">
              <w:rPr>
                <w:rFonts w:ascii="Calibri" w:hAnsi="Calibri"/>
                <w:b/>
              </w:rPr>
              <w:t>Reception</w:t>
            </w:r>
          </w:p>
        </w:tc>
        <w:tc>
          <w:tcPr>
            <w:tcW w:w="2837" w:type="dxa"/>
          </w:tcPr>
          <w:p w14:paraId="291114F1" w14:textId="42ED9414" w:rsidR="002E0C5A" w:rsidRPr="003D2921" w:rsidRDefault="009C7A89" w:rsidP="002E0C5A">
            <w:pPr>
              <w:pStyle w:val="NormalWeb"/>
              <w:jc w:val="center"/>
              <w:rPr>
                <w:rFonts w:ascii="Calibri" w:hAnsi="Calibri"/>
                <w:b/>
              </w:rPr>
            </w:pPr>
            <w:r>
              <w:rPr>
                <w:rFonts w:ascii="Calibri" w:hAnsi="Calibri"/>
                <w:b/>
              </w:rPr>
              <w:t>2</w:t>
            </w:r>
          </w:p>
        </w:tc>
        <w:tc>
          <w:tcPr>
            <w:tcW w:w="1701" w:type="dxa"/>
          </w:tcPr>
          <w:p w14:paraId="0F5D1AA6" w14:textId="28BEF2FB" w:rsidR="002E0C5A" w:rsidRPr="003D2921" w:rsidRDefault="009C7A89" w:rsidP="002E0C5A">
            <w:pPr>
              <w:pStyle w:val="NormalWeb"/>
              <w:jc w:val="center"/>
              <w:rPr>
                <w:rFonts w:ascii="Calibri" w:hAnsi="Calibri"/>
                <w:b/>
              </w:rPr>
            </w:pPr>
            <w:r>
              <w:rPr>
                <w:rFonts w:ascii="Calibri" w:hAnsi="Calibri"/>
                <w:b/>
              </w:rPr>
              <w:t>0</w:t>
            </w:r>
          </w:p>
        </w:tc>
        <w:tc>
          <w:tcPr>
            <w:tcW w:w="1701" w:type="dxa"/>
          </w:tcPr>
          <w:p w14:paraId="01D41585" w14:textId="7C8F2CC6" w:rsidR="002E0C5A" w:rsidRPr="003D2921" w:rsidRDefault="009C7A89" w:rsidP="002E0C5A">
            <w:pPr>
              <w:pStyle w:val="NormalWeb"/>
              <w:jc w:val="center"/>
              <w:rPr>
                <w:rFonts w:ascii="Calibri" w:hAnsi="Calibri"/>
                <w:b/>
              </w:rPr>
            </w:pPr>
            <w:r>
              <w:rPr>
                <w:rFonts w:ascii="Calibri" w:hAnsi="Calibri"/>
                <w:b/>
              </w:rPr>
              <w:t>0</w:t>
            </w:r>
          </w:p>
        </w:tc>
        <w:tc>
          <w:tcPr>
            <w:tcW w:w="1701" w:type="dxa"/>
          </w:tcPr>
          <w:p w14:paraId="404A402C" w14:textId="1BB5A2D1" w:rsidR="002E0C5A" w:rsidRPr="003D2921" w:rsidRDefault="009C7A89" w:rsidP="002E0C5A">
            <w:pPr>
              <w:pStyle w:val="NormalWeb"/>
              <w:jc w:val="center"/>
              <w:rPr>
                <w:rFonts w:ascii="Calibri" w:hAnsi="Calibri"/>
                <w:b/>
              </w:rPr>
            </w:pPr>
            <w:r>
              <w:rPr>
                <w:rFonts w:ascii="Calibri" w:hAnsi="Calibri"/>
                <w:b/>
              </w:rPr>
              <w:t>2</w:t>
            </w:r>
          </w:p>
        </w:tc>
      </w:tr>
      <w:tr w:rsidR="002E0C5A" w:rsidRPr="003D2921" w14:paraId="0942BC66" w14:textId="77777777" w:rsidTr="002E0C5A">
        <w:tc>
          <w:tcPr>
            <w:tcW w:w="1694" w:type="dxa"/>
          </w:tcPr>
          <w:p w14:paraId="5C477A17" w14:textId="77777777" w:rsidR="002E0C5A" w:rsidRPr="003D2921" w:rsidRDefault="002E0C5A" w:rsidP="00724D08">
            <w:pPr>
              <w:pStyle w:val="NormalWeb"/>
              <w:jc w:val="both"/>
              <w:rPr>
                <w:rFonts w:ascii="Calibri" w:hAnsi="Calibri"/>
                <w:b/>
              </w:rPr>
            </w:pPr>
            <w:r w:rsidRPr="003D2921">
              <w:rPr>
                <w:rFonts w:ascii="Calibri" w:hAnsi="Calibri"/>
                <w:b/>
              </w:rPr>
              <w:t>Year 1</w:t>
            </w:r>
          </w:p>
        </w:tc>
        <w:tc>
          <w:tcPr>
            <w:tcW w:w="2837" w:type="dxa"/>
          </w:tcPr>
          <w:p w14:paraId="3D23A2D7" w14:textId="2233DB35" w:rsidR="002E0C5A" w:rsidRPr="003D2921" w:rsidRDefault="009C7A89" w:rsidP="002E0C5A">
            <w:pPr>
              <w:pStyle w:val="NormalWeb"/>
              <w:jc w:val="center"/>
              <w:rPr>
                <w:rFonts w:ascii="Calibri" w:hAnsi="Calibri"/>
                <w:b/>
              </w:rPr>
            </w:pPr>
            <w:r>
              <w:rPr>
                <w:rFonts w:ascii="Calibri" w:hAnsi="Calibri"/>
                <w:b/>
              </w:rPr>
              <w:t>5</w:t>
            </w:r>
          </w:p>
        </w:tc>
        <w:tc>
          <w:tcPr>
            <w:tcW w:w="1701" w:type="dxa"/>
          </w:tcPr>
          <w:p w14:paraId="1B2AEDD2" w14:textId="44EC8542" w:rsidR="002E0C5A" w:rsidRPr="003D2921" w:rsidRDefault="009C7A89" w:rsidP="002E0C5A">
            <w:pPr>
              <w:pStyle w:val="NormalWeb"/>
              <w:jc w:val="center"/>
              <w:rPr>
                <w:rFonts w:ascii="Calibri" w:hAnsi="Calibri"/>
                <w:b/>
              </w:rPr>
            </w:pPr>
            <w:r>
              <w:rPr>
                <w:rFonts w:ascii="Calibri" w:hAnsi="Calibri"/>
                <w:b/>
              </w:rPr>
              <w:t>0</w:t>
            </w:r>
          </w:p>
        </w:tc>
        <w:tc>
          <w:tcPr>
            <w:tcW w:w="1701" w:type="dxa"/>
          </w:tcPr>
          <w:p w14:paraId="58F2515A" w14:textId="40C10620" w:rsidR="002E0C5A" w:rsidRPr="003D2921" w:rsidRDefault="009C7A89" w:rsidP="002E0C5A">
            <w:pPr>
              <w:pStyle w:val="NormalWeb"/>
              <w:jc w:val="center"/>
              <w:rPr>
                <w:rFonts w:ascii="Calibri" w:hAnsi="Calibri"/>
                <w:b/>
              </w:rPr>
            </w:pPr>
            <w:r>
              <w:rPr>
                <w:rFonts w:ascii="Calibri" w:hAnsi="Calibri"/>
                <w:b/>
              </w:rPr>
              <w:t>0</w:t>
            </w:r>
          </w:p>
        </w:tc>
        <w:tc>
          <w:tcPr>
            <w:tcW w:w="1701" w:type="dxa"/>
          </w:tcPr>
          <w:p w14:paraId="6327CF25" w14:textId="4814C899" w:rsidR="002E0C5A" w:rsidRPr="003D2921" w:rsidRDefault="009C7A89" w:rsidP="002E0C5A">
            <w:pPr>
              <w:pStyle w:val="NormalWeb"/>
              <w:jc w:val="center"/>
              <w:rPr>
                <w:rFonts w:ascii="Calibri" w:hAnsi="Calibri"/>
                <w:b/>
              </w:rPr>
            </w:pPr>
            <w:r>
              <w:rPr>
                <w:rFonts w:ascii="Calibri" w:hAnsi="Calibri"/>
                <w:b/>
              </w:rPr>
              <w:t>5</w:t>
            </w:r>
          </w:p>
        </w:tc>
      </w:tr>
      <w:tr w:rsidR="002E0C5A" w:rsidRPr="003D2921" w14:paraId="46150582" w14:textId="77777777" w:rsidTr="002E0C5A">
        <w:tc>
          <w:tcPr>
            <w:tcW w:w="1694" w:type="dxa"/>
          </w:tcPr>
          <w:p w14:paraId="6042557E" w14:textId="77777777" w:rsidR="002E0C5A" w:rsidRPr="003D2921" w:rsidRDefault="002E0C5A" w:rsidP="00724D08">
            <w:pPr>
              <w:pStyle w:val="NormalWeb"/>
              <w:jc w:val="both"/>
              <w:rPr>
                <w:rFonts w:ascii="Calibri" w:hAnsi="Calibri"/>
                <w:b/>
              </w:rPr>
            </w:pPr>
            <w:r w:rsidRPr="003D2921">
              <w:rPr>
                <w:rFonts w:ascii="Calibri" w:hAnsi="Calibri"/>
                <w:b/>
              </w:rPr>
              <w:t>Year 2</w:t>
            </w:r>
          </w:p>
        </w:tc>
        <w:tc>
          <w:tcPr>
            <w:tcW w:w="2837" w:type="dxa"/>
          </w:tcPr>
          <w:p w14:paraId="6BD6A4B4" w14:textId="606080A7" w:rsidR="002E0C5A" w:rsidRPr="003D2921" w:rsidRDefault="009C7A89" w:rsidP="002E0C5A">
            <w:pPr>
              <w:pStyle w:val="NormalWeb"/>
              <w:jc w:val="center"/>
              <w:rPr>
                <w:rFonts w:ascii="Calibri" w:hAnsi="Calibri"/>
                <w:b/>
              </w:rPr>
            </w:pPr>
            <w:r>
              <w:rPr>
                <w:rFonts w:ascii="Calibri" w:hAnsi="Calibri"/>
                <w:b/>
              </w:rPr>
              <w:t>0</w:t>
            </w:r>
          </w:p>
        </w:tc>
        <w:tc>
          <w:tcPr>
            <w:tcW w:w="1701" w:type="dxa"/>
          </w:tcPr>
          <w:p w14:paraId="247976BE" w14:textId="71347629" w:rsidR="002E0C5A" w:rsidRPr="003D2921" w:rsidRDefault="009C7A89" w:rsidP="002E0C5A">
            <w:pPr>
              <w:pStyle w:val="NormalWeb"/>
              <w:jc w:val="center"/>
              <w:rPr>
                <w:rFonts w:ascii="Calibri" w:hAnsi="Calibri"/>
                <w:b/>
              </w:rPr>
            </w:pPr>
            <w:r>
              <w:rPr>
                <w:rFonts w:ascii="Calibri" w:hAnsi="Calibri"/>
                <w:b/>
              </w:rPr>
              <w:t>2</w:t>
            </w:r>
          </w:p>
        </w:tc>
        <w:tc>
          <w:tcPr>
            <w:tcW w:w="1701" w:type="dxa"/>
          </w:tcPr>
          <w:p w14:paraId="62CD197C" w14:textId="04A5E787" w:rsidR="002E0C5A" w:rsidRPr="003D2921" w:rsidRDefault="009C7A89" w:rsidP="002E0C5A">
            <w:pPr>
              <w:pStyle w:val="NormalWeb"/>
              <w:jc w:val="center"/>
              <w:rPr>
                <w:rFonts w:ascii="Calibri" w:hAnsi="Calibri"/>
                <w:b/>
              </w:rPr>
            </w:pPr>
            <w:r>
              <w:rPr>
                <w:rFonts w:ascii="Calibri" w:hAnsi="Calibri"/>
                <w:b/>
              </w:rPr>
              <w:t>0</w:t>
            </w:r>
          </w:p>
        </w:tc>
        <w:tc>
          <w:tcPr>
            <w:tcW w:w="1701" w:type="dxa"/>
          </w:tcPr>
          <w:p w14:paraId="7157884E" w14:textId="6BAFD76B" w:rsidR="002E0C5A" w:rsidRPr="003D2921" w:rsidRDefault="009C7A89" w:rsidP="002E0C5A">
            <w:pPr>
              <w:pStyle w:val="NormalWeb"/>
              <w:jc w:val="center"/>
              <w:rPr>
                <w:rFonts w:ascii="Calibri" w:hAnsi="Calibri"/>
                <w:b/>
              </w:rPr>
            </w:pPr>
            <w:r>
              <w:rPr>
                <w:rFonts w:ascii="Calibri" w:hAnsi="Calibri"/>
                <w:b/>
              </w:rPr>
              <w:t>2</w:t>
            </w:r>
          </w:p>
        </w:tc>
      </w:tr>
      <w:tr w:rsidR="002E0C5A" w:rsidRPr="003D2921" w14:paraId="09542966" w14:textId="77777777" w:rsidTr="002E0C5A">
        <w:tc>
          <w:tcPr>
            <w:tcW w:w="1694" w:type="dxa"/>
          </w:tcPr>
          <w:p w14:paraId="2F8118BB" w14:textId="77777777" w:rsidR="002E0C5A" w:rsidRPr="003D2921" w:rsidRDefault="002E0C5A" w:rsidP="00724D08">
            <w:pPr>
              <w:pStyle w:val="NormalWeb"/>
              <w:jc w:val="both"/>
              <w:rPr>
                <w:rFonts w:ascii="Calibri" w:hAnsi="Calibri"/>
                <w:b/>
              </w:rPr>
            </w:pPr>
            <w:r w:rsidRPr="003D2921">
              <w:rPr>
                <w:rFonts w:ascii="Calibri" w:hAnsi="Calibri"/>
                <w:b/>
              </w:rPr>
              <w:t>Year 3</w:t>
            </w:r>
          </w:p>
        </w:tc>
        <w:tc>
          <w:tcPr>
            <w:tcW w:w="2837" w:type="dxa"/>
          </w:tcPr>
          <w:p w14:paraId="069E82DF" w14:textId="53E8189C" w:rsidR="002E0C5A" w:rsidRPr="003D2921" w:rsidRDefault="009C7A89" w:rsidP="002E0C5A">
            <w:pPr>
              <w:pStyle w:val="NormalWeb"/>
              <w:jc w:val="center"/>
              <w:rPr>
                <w:rFonts w:ascii="Calibri" w:hAnsi="Calibri"/>
                <w:b/>
              </w:rPr>
            </w:pPr>
            <w:r>
              <w:rPr>
                <w:rFonts w:ascii="Calibri" w:hAnsi="Calibri"/>
                <w:b/>
              </w:rPr>
              <w:t>2</w:t>
            </w:r>
          </w:p>
        </w:tc>
        <w:tc>
          <w:tcPr>
            <w:tcW w:w="1701" w:type="dxa"/>
          </w:tcPr>
          <w:p w14:paraId="0A0F5CB0" w14:textId="0A04F284" w:rsidR="002E0C5A" w:rsidRPr="003D2921" w:rsidRDefault="009C7A89" w:rsidP="002E0C5A">
            <w:pPr>
              <w:pStyle w:val="NormalWeb"/>
              <w:jc w:val="center"/>
              <w:rPr>
                <w:rFonts w:ascii="Calibri" w:hAnsi="Calibri"/>
                <w:b/>
              </w:rPr>
            </w:pPr>
            <w:r>
              <w:rPr>
                <w:rFonts w:ascii="Calibri" w:hAnsi="Calibri"/>
                <w:b/>
              </w:rPr>
              <w:t>4</w:t>
            </w:r>
          </w:p>
        </w:tc>
        <w:tc>
          <w:tcPr>
            <w:tcW w:w="1701" w:type="dxa"/>
          </w:tcPr>
          <w:p w14:paraId="0A637DD8" w14:textId="49D1EDD8" w:rsidR="002E0C5A" w:rsidRPr="003D2921" w:rsidRDefault="00B91C35" w:rsidP="002E0C5A">
            <w:pPr>
              <w:pStyle w:val="NormalWeb"/>
              <w:jc w:val="center"/>
              <w:rPr>
                <w:rFonts w:ascii="Calibri" w:hAnsi="Calibri"/>
                <w:b/>
              </w:rPr>
            </w:pPr>
            <w:r>
              <w:rPr>
                <w:rFonts w:ascii="Calibri" w:hAnsi="Calibri"/>
                <w:b/>
              </w:rPr>
              <w:t>1</w:t>
            </w:r>
          </w:p>
        </w:tc>
        <w:tc>
          <w:tcPr>
            <w:tcW w:w="1701" w:type="dxa"/>
          </w:tcPr>
          <w:p w14:paraId="25DF79E6" w14:textId="75153BB5" w:rsidR="002E0C5A" w:rsidRPr="003D2921" w:rsidRDefault="00B91C35" w:rsidP="002E0C5A">
            <w:pPr>
              <w:pStyle w:val="NormalWeb"/>
              <w:jc w:val="center"/>
              <w:rPr>
                <w:rFonts w:ascii="Calibri" w:hAnsi="Calibri"/>
                <w:b/>
              </w:rPr>
            </w:pPr>
            <w:r>
              <w:rPr>
                <w:rFonts w:ascii="Calibri" w:hAnsi="Calibri"/>
                <w:b/>
              </w:rPr>
              <w:t>7</w:t>
            </w:r>
          </w:p>
        </w:tc>
      </w:tr>
      <w:tr w:rsidR="002E0C5A" w:rsidRPr="003D2921" w14:paraId="12F31CBE" w14:textId="77777777" w:rsidTr="002E0C5A">
        <w:tc>
          <w:tcPr>
            <w:tcW w:w="1694" w:type="dxa"/>
          </w:tcPr>
          <w:p w14:paraId="7CC4F469" w14:textId="77777777" w:rsidR="002E0C5A" w:rsidRPr="003D2921" w:rsidRDefault="002E0C5A" w:rsidP="00724D08">
            <w:pPr>
              <w:pStyle w:val="NormalWeb"/>
              <w:jc w:val="both"/>
              <w:rPr>
                <w:rFonts w:ascii="Calibri" w:hAnsi="Calibri"/>
                <w:b/>
              </w:rPr>
            </w:pPr>
            <w:r w:rsidRPr="003D2921">
              <w:rPr>
                <w:rFonts w:ascii="Calibri" w:hAnsi="Calibri"/>
                <w:b/>
              </w:rPr>
              <w:t>Year 4</w:t>
            </w:r>
          </w:p>
        </w:tc>
        <w:tc>
          <w:tcPr>
            <w:tcW w:w="2837" w:type="dxa"/>
          </w:tcPr>
          <w:p w14:paraId="2AE14F7D" w14:textId="6BB5503B" w:rsidR="002E0C5A" w:rsidRPr="003D2921" w:rsidRDefault="009C7A89" w:rsidP="002E0C5A">
            <w:pPr>
              <w:pStyle w:val="NormalWeb"/>
              <w:jc w:val="center"/>
              <w:rPr>
                <w:rFonts w:ascii="Calibri" w:hAnsi="Calibri"/>
                <w:b/>
              </w:rPr>
            </w:pPr>
            <w:r>
              <w:rPr>
                <w:rFonts w:ascii="Calibri" w:hAnsi="Calibri"/>
                <w:b/>
              </w:rPr>
              <w:t>3</w:t>
            </w:r>
          </w:p>
        </w:tc>
        <w:tc>
          <w:tcPr>
            <w:tcW w:w="1701" w:type="dxa"/>
          </w:tcPr>
          <w:p w14:paraId="20B34541" w14:textId="25D3E085" w:rsidR="002E0C5A" w:rsidRPr="003D2921" w:rsidRDefault="009C7A89" w:rsidP="002E0C5A">
            <w:pPr>
              <w:pStyle w:val="NormalWeb"/>
              <w:jc w:val="center"/>
              <w:rPr>
                <w:rFonts w:ascii="Calibri" w:hAnsi="Calibri"/>
                <w:b/>
              </w:rPr>
            </w:pPr>
            <w:r>
              <w:rPr>
                <w:rFonts w:ascii="Calibri" w:hAnsi="Calibri"/>
                <w:b/>
              </w:rPr>
              <w:t>1</w:t>
            </w:r>
          </w:p>
        </w:tc>
        <w:tc>
          <w:tcPr>
            <w:tcW w:w="1701" w:type="dxa"/>
          </w:tcPr>
          <w:p w14:paraId="18749619" w14:textId="0500811E" w:rsidR="002E0C5A" w:rsidRPr="003D2921" w:rsidRDefault="00B91C35" w:rsidP="002E0C5A">
            <w:pPr>
              <w:pStyle w:val="NormalWeb"/>
              <w:jc w:val="center"/>
              <w:rPr>
                <w:rFonts w:ascii="Calibri" w:hAnsi="Calibri"/>
                <w:b/>
              </w:rPr>
            </w:pPr>
            <w:r>
              <w:rPr>
                <w:rFonts w:ascii="Calibri" w:hAnsi="Calibri"/>
                <w:b/>
              </w:rPr>
              <w:t>1</w:t>
            </w:r>
          </w:p>
        </w:tc>
        <w:tc>
          <w:tcPr>
            <w:tcW w:w="1701" w:type="dxa"/>
          </w:tcPr>
          <w:p w14:paraId="4BAEFB7F" w14:textId="7F66173D" w:rsidR="002E0C5A" w:rsidRPr="003D2921" w:rsidRDefault="00B91C35" w:rsidP="002E0C5A">
            <w:pPr>
              <w:pStyle w:val="NormalWeb"/>
              <w:jc w:val="center"/>
              <w:rPr>
                <w:rFonts w:ascii="Calibri" w:hAnsi="Calibri"/>
                <w:b/>
              </w:rPr>
            </w:pPr>
            <w:r>
              <w:rPr>
                <w:rFonts w:ascii="Calibri" w:hAnsi="Calibri"/>
                <w:b/>
              </w:rPr>
              <w:t>5</w:t>
            </w:r>
          </w:p>
        </w:tc>
      </w:tr>
      <w:tr w:rsidR="002E0C5A" w:rsidRPr="003D2921" w14:paraId="08F6A8EA" w14:textId="77777777" w:rsidTr="002E0C5A">
        <w:tc>
          <w:tcPr>
            <w:tcW w:w="1694" w:type="dxa"/>
          </w:tcPr>
          <w:p w14:paraId="13A26431" w14:textId="77777777" w:rsidR="002E0C5A" w:rsidRPr="003D2921" w:rsidRDefault="002E0C5A" w:rsidP="00724D08">
            <w:pPr>
              <w:pStyle w:val="NormalWeb"/>
              <w:jc w:val="both"/>
              <w:rPr>
                <w:rFonts w:ascii="Calibri" w:hAnsi="Calibri"/>
                <w:b/>
              </w:rPr>
            </w:pPr>
            <w:r w:rsidRPr="003D2921">
              <w:rPr>
                <w:rFonts w:ascii="Calibri" w:hAnsi="Calibri"/>
                <w:b/>
              </w:rPr>
              <w:t>Year 5</w:t>
            </w:r>
          </w:p>
        </w:tc>
        <w:tc>
          <w:tcPr>
            <w:tcW w:w="2837" w:type="dxa"/>
          </w:tcPr>
          <w:p w14:paraId="57EA63FF" w14:textId="4AA07242" w:rsidR="002E0C5A" w:rsidRPr="003D2921" w:rsidRDefault="00B91C35" w:rsidP="002E0C5A">
            <w:pPr>
              <w:pStyle w:val="NormalWeb"/>
              <w:jc w:val="center"/>
              <w:rPr>
                <w:rFonts w:ascii="Calibri" w:hAnsi="Calibri"/>
                <w:b/>
              </w:rPr>
            </w:pPr>
            <w:r>
              <w:rPr>
                <w:rFonts w:ascii="Calibri" w:hAnsi="Calibri"/>
                <w:b/>
              </w:rPr>
              <w:t>6</w:t>
            </w:r>
          </w:p>
        </w:tc>
        <w:tc>
          <w:tcPr>
            <w:tcW w:w="1701" w:type="dxa"/>
          </w:tcPr>
          <w:p w14:paraId="560B1051" w14:textId="084C3036" w:rsidR="002E0C5A" w:rsidRPr="003D2921" w:rsidRDefault="00B91C35" w:rsidP="002E0C5A">
            <w:pPr>
              <w:pStyle w:val="NormalWeb"/>
              <w:jc w:val="center"/>
              <w:rPr>
                <w:rFonts w:ascii="Calibri" w:hAnsi="Calibri"/>
                <w:b/>
              </w:rPr>
            </w:pPr>
            <w:r>
              <w:rPr>
                <w:rFonts w:ascii="Calibri" w:hAnsi="Calibri"/>
                <w:b/>
              </w:rPr>
              <w:t>0</w:t>
            </w:r>
          </w:p>
        </w:tc>
        <w:tc>
          <w:tcPr>
            <w:tcW w:w="1701" w:type="dxa"/>
          </w:tcPr>
          <w:p w14:paraId="017DD5BC" w14:textId="6DE2401C" w:rsidR="002E0C5A" w:rsidRPr="003D2921" w:rsidRDefault="00B91C35" w:rsidP="002E0C5A">
            <w:pPr>
              <w:pStyle w:val="NormalWeb"/>
              <w:jc w:val="center"/>
              <w:rPr>
                <w:rFonts w:ascii="Calibri" w:hAnsi="Calibri"/>
                <w:b/>
              </w:rPr>
            </w:pPr>
            <w:r>
              <w:rPr>
                <w:rFonts w:ascii="Calibri" w:hAnsi="Calibri"/>
                <w:b/>
              </w:rPr>
              <w:t>1</w:t>
            </w:r>
          </w:p>
        </w:tc>
        <w:tc>
          <w:tcPr>
            <w:tcW w:w="1701" w:type="dxa"/>
          </w:tcPr>
          <w:p w14:paraId="537D4CC3" w14:textId="1BC270BA" w:rsidR="002E0C5A" w:rsidRPr="003D2921" w:rsidRDefault="00B91C35" w:rsidP="002E0C5A">
            <w:pPr>
              <w:pStyle w:val="NormalWeb"/>
              <w:jc w:val="center"/>
              <w:rPr>
                <w:rFonts w:ascii="Calibri" w:hAnsi="Calibri"/>
                <w:b/>
              </w:rPr>
            </w:pPr>
            <w:r>
              <w:rPr>
                <w:rFonts w:ascii="Calibri" w:hAnsi="Calibri"/>
                <w:b/>
              </w:rPr>
              <w:t>7</w:t>
            </w:r>
          </w:p>
        </w:tc>
      </w:tr>
      <w:tr w:rsidR="002E0C5A" w:rsidRPr="003D2921" w14:paraId="2569F83C" w14:textId="77777777" w:rsidTr="002E0C5A">
        <w:tc>
          <w:tcPr>
            <w:tcW w:w="1694" w:type="dxa"/>
          </w:tcPr>
          <w:p w14:paraId="79BAD04D" w14:textId="77777777" w:rsidR="002E0C5A" w:rsidRPr="003D2921" w:rsidRDefault="002E0C5A" w:rsidP="00724D08">
            <w:pPr>
              <w:pStyle w:val="NormalWeb"/>
              <w:jc w:val="both"/>
              <w:rPr>
                <w:rFonts w:ascii="Calibri" w:hAnsi="Calibri"/>
                <w:b/>
              </w:rPr>
            </w:pPr>
            <w:r w:rsidRPr="003D2921">
              <w:rPr>
                <w:rFonts w:ascii="Calibri" w:hAnsi="Calibri"/>
                <w:b/>
              </w:rPr>
              <w:t>Year 6</w:t>
            </w:r>
          </w:p>
        </w:tc>
        <w:tc>
          <w:tcPr>
            <w:tcW w:w="2837" w:type="dxa"/>
          </w:tcPr>
          <w:p w14:paraId="0ED61C20" w14:textId="0D6B6178" w:rsidR="002E0C5A" w:rsidRPr="003D2921" w:rsidRDefault="00B91C35" w:rsidP="002E0C5A">
            <w:pPr>
              <w:pStyle w:val="NormalWeb"/>
              <w:jc w:val="center"/>
              <w:rPr>
                <w:rFonts w:ascii="Calibri" w:hAnsi="Calibri"/>
                <w:b/>
              </w:rPr>
            </w:pPr>
            <w:r>
              <w:rPr>
                <w:rFonts w:ascii="Calibri" w:hAnsi="Calibri"/>
                <w:b/>
              </w:rPr>
              <w:t>4</w:t>
            </w:r>
          </w:p>
        </w:tc>
        <w:tc>
          <w:tcPr>
            <w:tcW w:w="1701" w:type="dxa"/>
          </w:tcPr>
          <w:p w14:paraId="4701BEBB" w14:textId="6B870086" w:rsidR="002E0C5A" w:rsidRPr="003D2921" w:rsidRDefault="00B91C35" w:rsidP="002E0C5A">
            <w:pPr>
              <w:pStyle w:val="NormalWeb"/>
              <w:jc w:val="center"/>
              <w:rPr>
                <w:rFonts w:ascii="Calibri" w:hAnsi="Calibri"/>
                <w:b/>
              </w:rPr>
            </w:pPr>
            <w:r>
              <w:rPr>
                <w:rFonts w:ascii="Calibri" w:hAnsi="Calibri"/>
                <w:b/>
              </w:rPr>
              <w:t>0</w:t>
            </w:r>
          </w:p>
        </w:tc>
        <w:tc>
          <w:tcPr>
            <w:tcW w:w="1701" w:type="dxa"/>
          </w:tcPr>
          <w:p w14:paraId="28FEF43C" w14:textId="352BFCE8" w:rsidR="002E0C5A" w:rsidRPr="003D2921" w:rsidRDefault="00B91C35" w:rsidP="002E0C5A">
            <w:pPr>
              <w:pStyle w:val="NormalWeb"/>
              <w:jc w:val="center"/>
              <w:rPr>
                <w:rFonts w:ascii="Calibri" w:hAnsi="Calibri"/>
                <w:b/>
              </w:rPr>
            </w:pPr>
            <w:r>
              <w:rPr>
                <w:rFonts w:ascii="Calibri" w:hAnsi="Calibri"/>
                <w:b/>
              </w:rPr>
              <w:t>2</w:t>
            </w:r>
          </w:p>
        </w:tc>
        <w:tc>
          <w:tcPr>
            <w:tcW w:w="1701" w:type="dxa"/>
          </w:tcPr>
          <w:p w14:paraId="57EC75A4" w14:textId="73921D3B" w:rsidR="002E0C5A" w:rsidRPr="003D2921" w:rsidRDefault="00B91C35" w:rsidP="002E0C5A">
            <w:pPr>
              <w:pStyle w:val="NormalWeb"/>
              <w:jc w:val="center"/>
              <w:rPr>
                <w:rFonts w:ascii="Calibri" w:hAnsi="Calibri"/>
                <w:b/>
              </w:rPr>
            </w:pPr>
            <w:r>
              <w:rPr>
                <w:rFonts w:ascii="Calibri" w:hAnsi="Calibri"/>
                <w:b/>
              </w:rPr>
              <w:t>6</w:t>
            </w:r>
          </w:p>
        </w:tc>
      </w:tr>
      <w:tr w:rsidR="002E0C5A" w:rsidRPr="003D2921" w14:paraId="021794EF" w14:textId="77777777" w:rsidTr="002E0C5A">
        <w:tc>
          <w:tcPr>
            <w:tcW w:w="1694" w:type="dxa"/>
          </w:tcPr>
          <w:p w14:paraId="6D64DF99" w14:textId="77777777" w:rsidR="002E0C5A" w:rsidRPr="003D2921" w:rsidRDefault="002E0C5A" w:rsidP="00724D08">
            <w:pPr>
              <w:pStyle w:val="NormalWeb"/>
              <w:jc w:val="both"/>
              <w:rPr>
                <w:rFonts w:ascii="Calibri" w:hAnsi="Calibri"/>
                <w:b/>
              </w:rPr>
            </w:pPr>
            <w:r w:rsidRPr="003D2921">
              <w:rPr>
                <w:rFonts w:ascii="Calibri" w:hAnsi="Calibri"/>
                <w:b/>
              </w:rPr>
              <w:t>Total</w:t>
            </w:r>
          </w:p>
        </w:tc>
        <w:tc>
          <w:tcPr>
            <w:tcW w:w="2837" w:type="dxa"/>
          </w:tcPr>
          <w:p w14:paraId="51E2ED90" w14:textId="0A9F2C24" w:rsidR="002E0C5A" w:rsidRPr="003D2921" w:rsidRDefault="00B91C35" w:rsidP="002E0C5A">
            <w:pPr>
              <w:pStyle w:val="NormalWeb"/>
              <w:jc w:val="center"/>
              <w:rPr>
                <w:rFonts w:ascii="Calibri" w:hAnsi="Calibri"/>
                <w:b/>
              </w:rPr>
            </w:pPr>
            <w:r>
              <w:rPr>
                <w:rFonts w:ascii="Calibri" w:hAnsi="Calibri"/>
                <w:b/>
              </w:rPr>
              <w:t>22</w:t>
            </w:r>
          </w:p>
        </w:tc>
        <w:tc>
          <w:tcPr>
            <w:tcW w:w="1701" w:type="dxa"/>
          </w:tcPr>
          <w:p w14:paraId="09C08642" w14:textId="3D3D2312" w:rsidR="002E0C5A" w:rsidRPr="003D2921" w:rsidRDefault="00B91C35" w:rsidP="002E0C5A">
            <w:pPr>
              <w:pStyle w:val="NormalWeb"/>
              <w:jc w:val="center"/>
              <w:rPr>
                <w:rFonts w:ascii="Calibri" w:hAnsi="Calibri"/>
                <w:b/>
              </w:rPr>
            </w:pPr>
            <w:r>
              <w:rPr>
                <w:rFonts w:ascii="Calibri" w:hAnsi="Calibri"/>
                <w:b/>
              </w:rPr>
              <w:t>7</w:t>
            </w:r>
          </w:p>
        </w:tc>
        <w:tc>
          <w:tcPr>
            <w:tcW w:w="1701" w:type="dxa"/>
          </w:tcPr>
          <w:p w14:paraId="39EB3664" w14:textId="6D774B78" w:rsidR="002E0C5A" w:rsidRPr="003D2921" w:rsidRDefault="00B91C35" w:rsidP="002E0C5A">
            <w:pPr>
              <w:pStyle w:val="NormalWeb"/>
              <w:jc w:val="center"/>
              <w:rPr>
                <w:rFonts w:ascii="Calibri" w:hAnsi="Calibri"/>
                <w:b/>
              </w:rPr>
            </w:pPr>
            <w:r>
              <w:rPr>
                <w:rFonts w:ascii="Calibri" w:hAnsi="Calibri"/>
                <w:b/>
              </w:rPr>
              <w:t>5</w:t>
            </w:r>
          </w:p>
        </w:tc>
        <w:tc>
          <w:tcPr>
            <w:tcW w:w="1701" w:type="dxa"/>
          </w:tcPr>
          <w:p w14:paraId="0F927ECF" w14:textId="4FF96EE7" w:rsidR="002E0C5A" w:rsidRPr="003D2921" w:rsidRDefault="00B91C35" w:rsidP="002E0C5A">
            <w:pPr>
              <w:pStyle w:val="NormalWeb"/>
              <w:jc w:val="center"/>
              <w:rPr>
                <w:rFonts w:ascii="Calibri" w:hAnsi="Calibri"/>
                <w:b/>
              </w:rPr>
            </w:pPr>
            <w:r>
              <w:rPr>
                <w:rFonts w:ascii="Calibri" w:hAnsi="Calibri"/>
                <w:b/>
              </w:rPr>
              <w:t>34</w:t>
            </w:r>
          </w:p>
        </w:tc>
      </w:tr>
    </w:tbl>
    <w:p w14:paraId="57EC656E" w14:textId="7B087A1E" w:rsidR="003D2921" w:rsidRPr="003D2921" w:rsidRDefault="003D2921" w:rsidP="003D2921">
      <w:pPr>
        <w:pStyle w:val="NormalWeb"/>
        <w:jc w:val="both"/>
        <w:rPr>
          <w:rFonts w:ascii="Calibri" w:hAnsi="Calibri"/>
          <w:b/>
        </w:rPr>
      </w:pPr>
      <w:r>
        <w:rPr>
          <w:rFonts w:ascii="Calibri" w:hAnsi="Calibri"/>
          <w:b/>
        </w:rPr>
        <w:t>O</w:t>
      </w:r>
      <w:r w:rsidRPr="003D2921">
        <w:rPr>
          <w:rFonts w:ascii="Calibri" w:hAnsi="Calibri"/>
          <w:b/>
        </w:rPr>
        <w:t>verview of SE</w:t>
      </w:r>
      <w:r>
        <w:rPr>
          <w:rFonts w:ascii="Calibri" w:hAnsi="Calibri"/>
          <w:b/>
        </w:rPr>
        <w:t>MH</w:t>
      </w:r>
      <w:r w:rsidRPr="003D2921">
        <w:rPr>
          <w:rFonts w:ascii="Calibri" w:hAnsi="Calibri"/>
          <w:b/>
        </w:rPr>
        <w:t xml:space="preserve"> pupils</w:t>
      </w:r>
    </w:p>
    <w:p w14:paraId="22FC095A" w14:textId="77777777" w:rsidR="003D2921" w:rsidRPr="003D2921" w:rsidRDefault="003D2921" w:rsidP="003D2921">
      <w:pPr>
        <w:pStyle w:val="MediumGrid21"/>
        <w:jc w:val="both"/>
        <w:rPr>
          <w:sz w:val="24"/>
          <w:szCs w:val="24"/>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2837"/>
      </w:tblGrid>
      <w:tr w:rsidR="003D2921" w:rsidRPr="003D2921" w14:paraId="1938C785" w14:textId="77777777" w:rsidTr="46EEB9CC">
        <w:tc>
          <w:tcPr>
            <w:tcW w:w="1694" w:type="dxa"/>
          </w:tcPr>
          <w:p w14:paraId="39FF73C0" w14:textId="77777777" w:rsidR="003D2921" w:rsidRPr="003D2921" w:rsidRDefault="003D2921" w:rsidP="009A5DB0">
            <w:pPr>
              <w:pStyle w:val="NormalWeb"/>
              <w:jc w:val="both"/>
              <w:rPr>
                <w:rFonts w:ascii="Calibri" w:hAnsi="Calibri"/>
                <w:b/>
              </w:rPr>
            </w:pPr>
          </w:p>
        </w:tc>
        <w:tc>
          <w:tcPr>
            <w:tcW w:w="2837" w:type="dxa"/>
          </w:tcPr>
          <w:p w14:paraId="18084D1E" w14:textId="4DC4BE84" w:rsidR="003D2921" w:rsidRPr="003D2921" w:rsidRDefault="003D2921" w:rsidP="003D2921">
            <w:pPr>
              <w:pStyle w:val="NormalWeb"/>
              <w:jc w:val="center"/>
              <w:rPr>
                <w:rFonts w:ascii="Calibri" w:hAnsi="Calibri"/>
                <w:b/>
              </w:rPr>
            </w:pPr>
            <w:r>
              <w:rPr>
                <w:rFonts w:ascii="Calibri" w:hAnsi="Calibri"/>
                <w:b/>
              </w:rPr>
              <w:t>SEMH</w:t>
            </w:r>
          </w:p>
        </w:tc>
      </w:tr>
      <w:tr w:rsidR="003D2921" w:rsidRPr="003D2921" w14:paraId="7DA5B9CA" w14:textId="77777777" w:rsidTr="46EEB9CC">
        <w:tc>
          <w:tcPr>
            <w:tcW w:w="1694" w:type="dxa"/>
          </w:tcPr>
          <w:p w14:paraId="324AF69C" w14:textId="77777777" w:rsidR="003D2921" w:rsidRPr="003D2921" w:rsidRDefault="003D2921" w:rsidP="009A5DB0">
            <w:pPr>
              <w:pStyle w:val="NormalWeb"/>
              <w:jc w:val="both"/>
              <w:rPr>
                <w:rFonts w:ascii="Calibri" w:hAnsi="Calibri"/>
                <w:b/>
              </w:rPr>
            </w:pPr>
            <w:r w:rsidRPr="003D2921">
              <w:rPr>
                <w:rFonts w:ascii="Calibri" w:hAnsi="Calibri"/>
                <w:b/>
              </w:rPr>
              <w:t>Reception</w:t>
            </w:r>
          </w:p>
        </w:tc>
        <w:tc>
          <w:tcPr>
            <w:tcW w:w="2837" w:type="dxa"/>
          </w:tcPr>
          <w:p w14:paraId="00E3887B" w14:textId="1F855004" w:rsidR="003D2921" w:rsidRPr="003D2921" w:rsidRDefault="00B91C35" w:rsidP="009A5DB0">
            <w:pPr>
              <w:pStyle w:val="NormalWeb"/>
              <w:jc w:val="center"/>
              <w:rPr>
                <w:rFonts w:ascii="Calibri" w:hAnsi="Calibri"/>
                <w:b/>
              </w:rPr>
            </w:pPr>
            <w:r>
              <w:rPr>
                <w:rFonts w:ascii="Calibri" w:hAnsi="Calibri"/>
                <w:b/>
              </w:rPr>
              <w:t>0</w:t>
            </w:r>
          </w:p>
        </w:tc>
      </w:tr>
      <w:tr w:rsidR="003D2921" w:rsidRPr="003D2921" w14:paraId="19264506" w14:textId="77777777" w:rsidTr="46EEB9CC">
        <w:tc>
          <w:tcPr>
            <w:tcW w:w="1694" w:type="dxa"/>
          </w:tcPr>
          <w:p w14:paraId="59D57A95" w14:textId="77777777" w:rsidR="003D2921" w:rsidRPr="003D2921" w:rsidRDefault="003D2921" w:rsidP="009A5DB0">
            <w:pPr>
              <w:pStyle w:val="NormalWeb"/>
              <w:jc w:val="both"/>
              <w:rPr>
                <w:rFonts w:ascii="Calibri" w:hAnsi="Calibri"/>
                <w:b/>
              </w:rPr>
            </w:pPr>
            <w:r w:rsidRPr="003D2921">
              <w:rPr>
                <w:rFonts w:ascii="Calibri" w:hAnsi="Calibri"/>
                <w:b/>
              </w:rPr>
              <w:t>Year 1</w:t>
            </w:r>
          </w:p>
        </w:tc>
        <w:tc>
          <w:tcPr>
            <w:tcW w:w="2837" w:type="dxa"/>
          </w:tcPr>
          <w:p w14:paraId="6DCC9E3D" w14:textId="585B6804" w:rsidR="003D2921" w:rsidRPr="003D2921" w:rsidRDefault="00B91C35" w:rsidP="009A5DB0">
            <w:pPr>
              <w:pStyle w:val="NormalWeb"/>
              <w:jc w:val="center"/>
              <w:rPr>
                <w:rFonts w:ascii="Calibri" w:hAnsi="Calibri"/>
                <w:b/>
              </w:rPr>
            </w:pPr>
            <w:r>
              <w:rPr>
                <w:rFonts w:ascii="Calibri" w:hAnsi="Calibri"/>
                <w:b/>
              </w:rPr>
              <w:t>3</w:t>
            </w:r>
          </w:p>
        </w:tc>
      </w:tr>
      <w:tr w:rsidR="003D2921" w:rsidRPr="003D2921" w14:paraId="45912BE0" w14:textId="77777777" w:rsidTr="46EEB9CC">
        <w:tc>
          <w:tcPr>
            <w:tcW w:w="1694" w:type="dxa"/>
          </w:tcPr>
          <w:p w14:paraId="6C32C434" w14:textId="77777777" w:rsidR="003D2921" w:rsidRPr="003D2921" w:rsidRDefault="003D2921" w:rsidP="009A5DB0">
            <w:pPr>
              <w:pStyle w:val="NormalWeb"/>
              <w:jc w:val="both"/>
              <w:rPr>
                <w:rFonts w:ascii="Calibri" w:hAnsi="Calibri"/>
                <w:b/>
              </w:rPr>
            </w:pPr>
            <w:r w:rsidRPr="003D2921">
              <w:rPr>
                <w:rFonts w:ascii="Calibri" w:hAnsi="Calibri"/>
                <w:b/>
              </w:rPr>
              <w:t>Year 2</w:t>
            </w:r>
          </w:p>
        </w:tc>
        <w:tc>
          <w:tcPr>
            <w:tcW w:w="2837" w:type="dxa"/>
          </w:tcPr>
          <w:p w14:paraId="729DF49A" w14:textId="45B254FE" w:rsidR="003D2921" w:rsidRPr="003D2921" w:rsidRDefault="00B91C35" w:rsidP="009A5DB0">
            <w:pPr>
              <w:pStyle w:val="NormalWeb"/>
              <w:jc w:val="center"/>
              <w:rPr>
                <w:rFonts w:ascii="Calibri" w:hAnsi="Calibri"/>
                <w:b/>
              </w:rPr>
            </w:pPr>
            <w:r>
              <w:rPr>
                <w:rFonts w:ascii="Calibri" w:hAnsi="Calibri"/>
                <w:b/>
              </w:rPr>
              <w:t>2</w:t>
            </w:r>
          </w:p>
        </w:tc>
      </w:tr>
      <w:tr w:rsidR="003D2921" w:rsidRPr="003D2921" w14:paraId="3C6E899B" w14:textId="77777777" w:rsidTr="46EEB9CC">
        <w:tc>
          <w:tcPr>
            <w:tcW w:w="1694" w:type="dxa"/>
          </w:tcPr>
          <w:p w14:paraId="6D4D0EA2" w14:textId="77777777" w:rsidR="003D2921" w:rsidRPr="003D2921" w:rsidRDefault="003D2921" w:rsidP="009A5DB0">
            <w:pPr>
              <w:pStyle w:val="NormalWeb"/>
              <w:jc w:val="both"/>
              <w:rPr>
                <w:rFonts w:ascii="Calibri" w:hAnsi="Calibri"/>
                <w:b/>
              </w:rPr>
            </w:pPr>
            <w:r w:rsidRPr="003D2921">
              <w:rPr>
                <w:rFonts w:ascii="Calibri" w:hAnsi="Calibri"/>
                <w:b/>
              </w:rPr>
              <w:t>Year 3</w:t>
            </w:r>
          </w:p>
        </w:tc>
        <w:tc>
          <w:tcPr>
            <w:tcW w:w="2837" w:type="dxa"/>
          </w:tcPr>
          <w:p w14:paraId="40374A06" w14:textId="6573718F" w:rsidR="003D2921" w:rsidRPr="003D2921" w:rsidRDefault="00B91C35" w:rsidP="009A5DB0">
            <w:pPr>
              <w:pStyle w:val="NormalWeb"/>
              <w:jc w:val="center"/>
              <w:rPr>
                <w:rFonts w:ascii="Calibri" w:hAnsi="Calibri"/>
                <w:b/>
              </w:rPr>
            </w:pPr>
            <w:r>
              <w:rPr>
                <w:rFonts w:ascii="Calibri" w:hAnsi="Calibri"/>
                <w:b/>
              </w:rPr>
              <w:t>5</w:t>
            </w:r>
          </w:p>
        </w:tc>
      </w:tr>
      <w:tr w:rsidR="003D2921" w:rsidRPr="003D2921" w14:paraId="41EBFC3C" w14:textId="77777777" w:rsidTr="46EEB9CC">
        <w:tc>
          <w:tcPr>
            <w:tcW w:w="1694" w:type="dxa"/>
          </w:tcPr>
          <w:p w14:paraId="77A1D818" w14:textId="77777777" w:rsidR="003D2921" w:rsidRPr="003D2921" w:rsidRDefault="003D2921" w:rsidP="009A5DB0">
            <w:pPr>
              <w:pStyle w:val="NormalWeb"/>
              <w:jc w:val="both"/>
              <w:rPr>
                <w:rFonts w:ascii="Calibri" w:hAnsi="Calibri"/>
                <w:b/>
              </w:rPr>
            </w:pPr>
            <w:r w:rsidRPr="003D2921">
              <w:rPr>
                <w:rFonts w:ascii="Calibri" w:hAnsi="Calibri"/>
                <w:b/>
              </w:rPr>
              <w:t>Year 4</w:t>
            </w:r>
          </w:p>
        </w:tc>
        <w:tc>
          <w:tcPr>
            <w:tcW w:w="2837" w:type="dxa"/>
          </w:tcPr>
          <w:p w14:paraId="16EC1A4A" w14:textId="18D85A43" w:rsidR="003D2921" w:rsidRPr="003D2921" w:rsidRDefault="00B91C35" w:rsidP="009A5DB0">
            <w:pPr>
              <w:pStyle w:val="NormalWeb"/>
              <w:jc w:val="center"/>
              <w:rPr>
                <w:rFonts w:ascii="Calibri" w:hAnsi="Calibri"/>
                <w:b/>
              </w:rPr>
            </w:pPr>
            <w:r>
              <w:rPr>
                <w:rFonts w:ascii="Calibri" w:hAnsi="Calibri"/>
                <w:b/>
              </w:rPr>
              <w:t>2</w:t>
            </w:r>
          </w:p>
        </w:tc>
      </w:tr>
      <w:tr w:rsidR="003D2921" w:rsidRPr="003D2921" w14:paraId="51D80F52" w14:textId="77777777" w:rsidTr="46EEB9CC">
        <w:tc>
          <w:tcPr>
            <w:tcW w:w="1694" w:type="dxa"/>
          </w:tcPr>
          <w:p w14:paraId="15386E94" w14:textId="77777777" w:rsidR="003D2921" w:rsidRPr="003D2921" w:rsidRDefault="003D2921" w:rsidP="009A5DB0">
            <w:pPr>
              <w:pStyle w:val="NormalWeb"/>
              <w:jc w:val="both"/>
              <w:rPr>
                <w:rFonts w:ascii="Calibri" w:hAnsi="Calibri"/>
                <w:b/>
              </w:rPr>
            </w:pPr>
            <w:r w:rsidRPr="003D2921">
              <w:rPr>
                <w:rFonts w:ascii="Calibri" w:hAnsi="Calibri"/>
                <w:b/>
              </w:rPr>
              <w:t>Year 5</w:t>
            </w:r>
          </w:p>
        </w:tc>
        <w:tc>
          <w:tcPr>
            <w:tcW w:w="2837" w:type="dxa"/>
          </w:tcPr>
          <w:p w14:paraId="30F6E302" w14:textId="3F0B719D" w:rsidR="003D2921" w:rsidRPr="003D2921" w:rsidRDefault="00B91C35" w:rsidP="009A5DB0">
            <w:pPr>
              <w:pStyle w:val="NormalWeb"/>
              <w:jc w:val="center"/>
              <w:rPr>
                <w:rFonts w:ascii="Calibri" w:hAnsi="Calibri"/>
                <w:b/>
              </w:rPr>
            </w:pPr>
            <w:r>
              <w:rPr>
                <w:rFonts w:ascii="Calibri" w:hAnsi="Calibri"/>
                <w:b/>
              </w:rPr>
              <w:t>2</w:t>
            </w:r>
          </w:p>
        </w:tc>
      </w:tr>
      <w:tr w:rsidR="003D2921" w:rsidRPr="003D2921" w14:paraId="2CFA064B" w14:textId="77777777" w:rsidTr="46EEB9CC">
        <w:tc>
          <w:tcPr>
            <w:tcW w:w="1694" w:type="dxa"/>
          </w:tcPr>
          <w:p w14:paraId="68D0A9A8" w14:textId="77777777" w:rsidR="003D2921" w:rsidRPr="003D2921" w:rsidRDefault="003D2921" w:rsidP="009A5DB0">
            <w:pPr>
              <w:pStyle w:val="NormalWeb"/>
              <w:jc w:val="both"/>
              <w:rPr>
                <w:rFonts w:ascii="Calibri" w:hAnsi="Calibri"/>
                <w:b/>
              </w:rPr>
            </w:pPr>
            <w:r w:rsidRPr="003D2921">
              <w:rPr>
                <w:rFonts w:ascii="Calibri" w:hAnsi="Calibri"/>
                <w:b/>
              </w:rPr>
              <w:t>Year 6</w:t>
            </w:r>
          </w:p>
        </w:tc>
        <w:tc>
          <w:tcPr>
            <w:tcW w:w="2837" w:type="dxa"/>
          </w:tcPr>
          <w:p w14:paraId="28098F50" w14:textId="3512737F" w:rsidR="003D2921" w:rsidRPr="003D2921" w:rsidRDefault="00B91C35" w:rsidP="009A5DB0">
            <w:pPr>
              <w:pStyle w:val="NormalWeb"/>
              <w:jc w:val="center"/>
              <w:rPr>
                <w:rFonts w:ascii="Calibri" w:hAnsi="Calibri"/>
                <w:b/>
              </w:rPr>
            </w:pPr>
            <w:r>
              <w:rPr>
                <w:rFonts w:ascii="Calibri" w:hAnsi="Calibri"/>
                <w:b/>
              </w:rPr>
              <w:t>5</w:t>
            </w:r>
          </w:p>
        </w:tc>
      </w:tr>
      <w:tr w:rsidR="003D2921" w:rsidRPr="003D2921" w14:paraId="1D2CAA35" w14:textId="77777777" w:rsidTr="46EEB9CC">
        <w:tc>
          <w:tcPr>
            <w:tcW w:w="1694" w:type="dxa"/>
          </w:tcPr>
          <w:p w14:paraId="0ED03534" w14:textId="77777777" w:rsidR="003D2921" w:rsidRPr="003D2921" w:rsidRDefault="003D2921" w:rsidP="009A5DB0">
            <w:pPr>
              <w:pStyle w:val="NormalWeb"/>
              <w:jc w:val="both"/>
              <w:rPr>
                <w:rFonts w:ascii="Calibri" w:hAnsi="Calibri"/>
                <w:b/>
              </w:rPr>
            </w:pPr>
            <w:r w:rsidRPr="003D2921">
              <w:rPr>
                <w:rFonts w:ascii="Calibri" w:hAnsi="Calibri"/>
                <w:b/>
              </w:rPr>
              <w:t>Total</w:t>
            </w:r>
          </w:p>
        </w:tc>
        <w:tc>
          <w:tcPr>
            <w:tcW w:w="2837" w:type="dxa"/>
          </w:tcPr>
          <w:p w14:paraId="6495CA14" w14:textId="452C378C" w:rsidR="003D2921" w:rsidRPr="003D2921" w:rsidRDefault="00B91C35" w:rsidP="009A5DB0">
            <w:pPr>
              <w:pStyle w:val="NormalWeb"/>
              <w:jc w:val="center"/>
              <w:rPr>
                <w:rFonts w:ascii="Calibri" w:hAnsi="Calibri"/>
                <w:b/>
              </w:rPr>
            </w:pPr>
            <w:r>
              <w:rPr>
                <w:rFonts w:ascii="Calibri" w:hAnsi="Calibri"/>
                <w:b/>
              </w:rPr>
              <w:t>19</w:t>
            </w:r>
          </w:p>
        </w:tc>
      </w:tr>
    </w:tbl>
    <w:p w14:paraId="592A96A6" w14:textId="31209F39" w:rsidR="46EEB9CC" w:rsidRDefault="46EEB9CC" w:rsidP="46EEB9CC">
      <w:pPr>
        <w:pStyle w:val="NormalWeb"/>
        <w:jc w:val="both"/>
        <w:rPr>
          <w:rFonts w:ascii="Calibri" w:hAnsi="Calibri"/>
          <w:b/>
          <w:bCs/>
        </w:rPr>
      </w:pPr>
    </w:p>
    <w:p w14:paraId="7F3D2722" w14:textId="77777777" w:rsidR="009C7A89" w:rsidRDefault="009C7A89" w:rsidP="00724D08">
      <w:pPr>
        <w:pStyle w:val="NormalWeb"/>
        <w:jc w:val="both"/>
        <w:rPr>
          <w:rFonts w:ascii="Calibri" w:hAnsi="Calibri"/>
          <w:b/>
          <w:bCs/>
        </w:rPr>
      </w:pPr>
    </w:p>
    <w:p w14:paraId="4815F942" w14:textId="55671D12" w:rsidR="009C7A89" w:rsidRDefault="009C7A89" w:rsidP="00724D08">
      <w:pPr>
        <w:pStyle w:val="NormalWeb"/>
        <w:jc w:val="both"/>
        <w:rPr>
          <w:rFonts w:ascii="Calibri" w:hAnsi="Calibri"/>
          <w:b/>
          <w:bCs/>
        </w:rPr>
      </w:pPr>
    </w:p>
    <w:p w14:paraId="6FD3111B" w14:textId="77777777" w:rsidR="00B8763C" w:rsidRDefault="00B8763C" w:rsidP="00724D08">
      <w:pPr>
        <w:pStyle w:val="NormalWeb"/>
        <w:jc w:val="both"/>
        <w:rPr>
          <w:rFonts w:ascii="Calibri" w:hAnsi="Calibri"/>
          <w:b/>
          <w:bCs/>
        </w:rPr>
      </w:pPr>
      <w:bookmarkStart w:id="0" w:name="_GoBack"/>
      <w:bookmarkEnd w:id="0"/>
    </w:p>
    <w:p w14:paraId="6C476573" w14:textId="77777777" w:rsidR="009C7A89" w:rsidRDefault="009C7A89" w:rsidP="00724D08">
      <w:pPr>
        <w:pStyle w:val="NormalWeb"/>
        <w:jc w:val="both"/>
        <w:rPr>
          <w:rFonts w:ascii="Calibri" w:hAnsi="Calibri"/>
          <w:b/>
          <w:bCs/>
        </w:rPr>
      </w:pPr>
    </w:p>
    <w:p w14:paraId="26F0256B" w14:textId="4C51C75D" w:rsidR="46EEB9CC" w:rsidRPr="00B91C35" w:rsidRDefault="00724D08" w:rsidP="46EEB9CC">
      <w:pPr>
        <w:pStyle w:val="NormalWeb"/>
        <w:jc w:val="both"/>
        <w:rPr>
          <w:rFonts w:ascii="Calibri" w:hAnsi="Calibri"/>
          <w:b/>
        </w:rPr>
      </w:pPr>
      <w:r w:rsidRPr="46EEB9CC">
        <w:rPr>
          <w:rFonts w:ascii="Calibri" w:hAnsi="Calibri"/>
          <w:b/>
          <w:bCs/>
        </w:rPr>
        <w:lastRenderedPageBreak/>
        <w:t xml:space="preserve">Category of </w:t>
      </w:r>
      <w:r w:rsidR="005E0CB4" w:rsidRPr="46EEB9CC">
        <w:rPr>
          <w:rFonts w:ascii="Calibri" w:hAnsi="Calibri"/>
          <w:b/>
          <w:bCs/>
        </w:rPr>
        <w:t>N</w:t>
      </w:r>
      <w:r w:rsidRPr="46EEB9CC">
        <w:rPr>
          <w:rFonts w:ascii="Calibri" w:hAnsi="Calibri"/>
          <w:b/>
          <w:bCs/>
        </w:rPr>
        <w:t>eed</w:t>
      </w:r>
      <w:r w:rsidR="009C7A89">
        <w:rPr>
          <w:rFonts w:ascii="Calibri" w:hAnsi="Calibri"/>
          <w:b/>
          <w:bCs/>
        </w:rPr>
        <w:t xml:space="preserve"> – Primary Need </w:t>
      </w:r>
    </w:p>
    <w:p w14:paraId="36DF56FC" w14:textId="30D5983F" w:rsidR="46EEB9CC" w:rsidRPr="00F2614A" w:rsidRDefault="00F2614A" w:rsidP="00F2614A">
      <w:pPr>
        <w:pStyle w:val="NormalWeb"/>
        <w:jc w:val="both"/>
        <w:rPr>
          <w:rFonts w:ascii="Calibri" w:hAnsi="Calibri"/>
          <w:b/>
        </w:rPr>
      </w:pPr>
      <w:r>
        <w:rPr>
          <w:rFonts w:ascii="Calibri" w:hAnsi="Calibri"/>
          <w:b/>
          <w:bCs/>
        </w:rPr>
        <w:t xml:space="preserve">SEN Register </w:t>
      </w:r>
    </w:p>
    <w:tbl>
      <w:tblPr>
        <w:tblStyle w:val="TableGrid"/>
        <w:tblW w:w="0" w:type="auto"/>
        <w:tblInd w:w="-572" w:type="dxa"/>
        <w:tblLook w:val="04A0" w:firstRow="1" w:lastRow="0" w:firstColumn="1" w:lastColumn="0" w:noHBand="0" w:noVBand="1"/>
      </w:tblPr>
      <w:tblGrid>
        <w:gridCol w:w="5080"/>
        <w:gridCol w:w="1157"/>
      </w:tblGrid>
      <w:tr w:rsidR="005E0CB4" w:rsidRPr="003D2921" w14:paraId="5986D90A" w14:textId="77777777" w:rsidTr="00B91C35">
        <w:tc>
          <w:tcPr>
            <w:tcW w:w="5080" w:type="dxa"/>
          </w:tcPr>
          <w:p w14:paraId="61A6A9D3" w14:textId="4FACED48" w:rsidR="005E0CB4" w:rsidRPr="003D2921" w:rsidRDefault="00F2614A" w:rsidP="00724D08">
            <w:pPr>
              <w:pStyle w:val="MediumGrid21"/>
              <w:jc w:val="both"/>
              <w:rPr>
                <w:sz w:val="24"/>
                <w:szCs w:val="24"/>
              </w:rPr>
            </w:pPr>
            <w:r>
              <w:rPr>
                <w:sz w:val="24"/>
                <w:szCs w:val="24"/>
              </w:rPr>
              <w:t>Communication and Interaction</w:t>
            </w:r>
            <w:r w:rsidR="005E0CB4" w:rsidRPr="003D2921">
              <w:rPr>
                <w:sz w:val="24"/>
                <w:szCs w:val="24"/>
              </w:rPr>
              <w:t xml:space="preserve">      </w:t>
            </w:r>
          </w:p>
        </w:tc>
        <w:tc>
          <w:tcPr>
            <w:tcW w:w="1157" w:type="dxa"/>
          </w:tcPr>
          <w:p w14:paraId="62831343" w14:textId="3FB49B07" w:rsidR="005E0CB4" w:rsidRPr="003D2921" w:rsidRDefault="00B91C35" w:rsidP="00724D08">
            <w:pPr>
              <w:pStyle w:val="MediumGrid21"/>
              <w:jc w:val="both"/>
              <w:rPr>
                <w:sz w:val="24"/>
                <w:szCs w:val="24"/>
              </w:rPr>
            </w:pPr>
            <w:r>
              <w:rPr>
                <w:sz w:val="24"/>
                <w:szCs w:val="24"/>
              </w:rPr>
              <w:t>52%</w:t>
            </w:r>
          </w:p>
        </w:tc>
      </w:tr>
      <w:tr w:rsidR="005E0CB4" w:rsidRPr="003D2921" w14:paraId="17F71C51" w14:textId="77777777" w:rsidTr="00B91C35">
        <w:tc>
          <w:tcPr>
            <w:tcW w:w="5080" w:type="dxa"/>
          </w:tcPr>
          <w:p w14:paraId="0A1B5485" w14:textId="6A20CD75" w:rsidR="005E0CB4" w:rsidRPr="003D2921" w:rsidRDefault="00F2614A" w:rsidP="00724D08">
            <w:pPr>
              <w:pStyle w:val="MediumGrid21"/>
              <w:jc w:val="both"/>
              <w:rPr>
                <w:sz w:val="24"/>
                <w:szCs w:val="24"/>
              </w:rPr>
            </w:pPr>
            <w:r>
              <w:rPr>
                <w:sz w:val="24"/>
                <w:szCs w:val="24"/>
              </w:rPr>
              <w:t xml:space="preserve">Cognition and Learning </w:t>
            </w:r>
          </w:p>
        </w:tc>
        <w:tc>
          <w:tcPr>
            <w:tcW w:w="1157" w:type="dxa"/>
          </w:tcPr>
          <w:p w14:paraId="55863048" w14:textId="2D219727" w:rsidR="005E0CB4" w:rsidRPr="003D2921" w:rsidRDefault="00B91C35" w:rsidP="00724D08">
            <w:pPr>
              <w:pStyle w:val="MediumGrid21"/>
              <w:jc w:val="both"/>
              <w:rPr>
                <w:sz w:val="24"/>
                <w:szCs w:val="24"/>
              </w:rPr>
            </w:pPr>
            <w:r>
              <w:rPr>
                <w:sz w:val="24"/>
                <w:szCs w:val="24"/>
              </w:rPr>
              <w:t>33%</w:t>
            </w:r>
          </w:p>
        </w:tc>
      </w:tr>
      <w:tr w:rsidR="005E0CB4" w:rsidRPr="003D2921" w14:paraId="4425291C" w14:textId="77777777" w:rsidTr="00B91C35">
        <w:tc>
          <w:tcPr>
            <w:tcW w:w="5080" w:type="dxa"/>
          </w:tcPr>
          <w:p w14:paraId="72AC7CC9" w14:textId="77777777" w:rsidR="005E0CB4" w:rsidRPr="003D2921" w:rsidRDefault="00060B9A" w:rsidP="00724D08">
            <w:pPr>
              <w:pStyle w:val="MediumGrid21"/>
              <w:jc w:val="both"/>
              <w:rPr>
                <w:sz w:val="24"/>
                <w:szCs w:val="24"/>
              </w:rPr>
            </w:pPr>
            <w:r w:rsidRPr="003D2921">
              <w:rPr>
                <w:sz w:val="24"/>
                <w:szCs w:val="24"/>
              </w:rPr>
              <w:t xml:space="preserve">Social, Emotional and Mental Health </w:t>
            </w:r>
          </w:p>
        </w:tc>
        <w:tc>
          <w:tcPr>
            <w:tcW w:w="1157" w:type="dxa"/>
          </w:tcPr>
          <w:p w14:paraId="5E3C235A" w14:textId="706B5B92" w:rsidR="005E0CB4" w:rsidRPr="003D2921" w:rsidRDefault="00B91C35" w:rsidP="00724D08">
            <w:pPr>
              <w:pStyle w:val="MediumGrid21"/>
              <w:jc w:val="both"/>
              <w:rPr>
                <w:sz w:val="24"/>
                <w:szCs w:val="24"/>
              </w:rPr>
            </w:pPr>
            <w:r>
              <w:rPr>
                <w:sz w:val="24"/>
                <w:szCs w:val="24"/>
              </w:rPr>
              <w:t>9%</w:t>
            </w:r>
          </w:p>
        </w:tc>
      </w:tr>
      <w:tr w:rsidR="005E0CB4" w:rsidRPr="003D2921" w14:paraId="1074C36A" w14:textId="77777777" w:rsidTr="00B91C35">
        <w:tc>
          <w:tcPr>
            <w:tcW w:w="5080" w:type="dxa"/>
          </w:tcPr>
          <w:p w14:paraId="7FDC1255" w14:textId="77777777" w:rsidR="005E0CB4" w:rsidRPr="003D2921" w:rsidRDefault="00060B9A" w:rsidP="00724D08">
            <w:pPr>
              <w:pStyle w:val="MediumGrid21"/>
              <w:jc w:val="both"/>
              <w:rPr>
                <w:sz w:val="24"/>
                <w:szCs w:val="24"/>
              </w:rPr>
            </w:pPr>
            <w:r w:rsidRPr="003D2921">
              <w:rPr>
                <w:sz w:val="24"/>
                <w:szCs w:val="24"/>
              </w:rPr>
              <w:t xml:space="preserve">Sensory and Physical </w:t>
            </w:r>
          </w:p>
        </w:tc>
        <w:tc>
          <w:tcPr>
            <w:tcW w:w="1157" w:type="dxa"/>
          </w:tcPr>
          <w:p w14:paraId="38B8467C" w14:textId="343EB1F2" w:rsidR="005E0CB4" w:rsidRPr="003D2921" w:rsidRDefault="00B91C35" w:rsidP="00724D08">
            <w:pPr>
              <w:pStyle w:val="MediumGrid21"/>
              <w:jc w:val="both"/>
              <w:rPr>
                <w:sz w:val="24"/>
                <w:szCs w:val="24"/>
              </w:rPr>
            </w:pPr>
            <w:r>
              <w:rPr>
                <w:sz w:val="24"/>
                <w:szCs w:val="24"/>
              </w:rPr>
              <w:t>6%</w:t>
            </w:r>
          </w:p>
        </w:tc>
      </w:tr>
    </w:tbl>
    <w:p w14:paraId="6A796E1B" w14:textId="77777777" w:rsidR="005E0CB4" w:rsidRPr="003D2921" w:rsidRDefault="005E0CB4" w:rsidP="00724D08">
      <w:pPr>
        <w:pStyle w:val="MediumGrid21"/>
        <w:jc w:val="both"/>
        <w:rPr>
          <w:sz w:val="24"/>
          <w:szCs w:val="24"/>
        </w:rPr>
      </w:pPr>
    </w:p>
    <w:p w14:paraId="4F81EF47" w14:textId="77777777" w:rsidR="00724D08" w:rsidRPr="003D2921" w:rsidRDefault="00724D08" w:rsidP="00724D08">
      <w:pPr>
        <w:pStyle w:val="MediumGrid21"/>
        <w:jc w:val="both"/>
        <w:rPr>
          <w:sz w:val="24"/>
          <w:szCs w:val="24"/>
        </w:rPr>
      </w:pPr>
    </w:p>
    <w:p w14:paraId="46C55F18" w14:textId="77777777" w:rsidR="00724D08" w:rsidRPr="003D2921" w:rsidRDefault="00724D08" w:rsidP="00724D08">
      <w:pPr>
        <w:pStyle w:val="MediumGrid21"/>
        <w:jc w:val="both"/>
        <w:rPr>
          <w:b/>
          <w:sz w:val="24"/>
          <w:szCs w:val="24"/>
        </w:rPr>
      </w:pPr>
      <w:r w:rsidRPr="003D2921">
        <w:rPr>
          <w:b/>
          <w:sz w:val="24"/>
          <w:szCs w:val="24"/>
        </w:rPr>
        <w:t>Parent Communication</w:t>
      </w:r>
    </w:p>
    <w:p w14:paraId="1CDDEF91" w14:textId="77777777" w:rsidR="00724D08" w:rsidRPr="003D2921" w:rsidRDefault="00724D08" w:rsidP="00724D08">
      <w:pPr>
        <w:pStyle w:val="MediumGrid21"/>
        <w:jc w:val="both"/>
        <w:rPr>
          <w:sz w:val="24"/>
          <w:szCs w:val="24"/>
        </w:rPr>
      </w:pPr>
    </w:p>
    <w:p w14:paraId="093C4AF9" w14:textId="77777777" w:rsidR="00724D08" w:rsidRPr="003D2921" w:rsidRDefault="00724D08" w:rsidP="00724D08">
      <w:pPr>
        <w:pStyle w:val="MediumGrid21"/>
        <w:jc w:val="both"/>
        <w:rPr>
          <w:sz w:val="24"/>
          <w:szCs w:val="24"/>
        </w:rPr>
      </w:pPr>
      <w:r w:rsidRPr="46EEB9CC">
        <w:rPr>
          <w:sz w:val="24"/>
          <w:szCs w:val="24"/>
        </w:rPr>
        <w:t xml:space="preserve">Parents and carers are updated termly on their children’s progress. </w:t>
      </w:r>
      <w:r w:rsidR="00060B9A" w:rsidRPr="46EEB9CC">
        <w:rPr>
          <w:sz w:val="24"/>
          <w:szCs w:val="24"/>
        </w:rPr>
        <w:t xml:space="preserve">The </w:t>
      </w:r>
      <w:r w:rsidRPr="46EEB9CC">
        <w:rPr>
          <w:sz w:val="24"/>
          <w:szCs w:val="24"/>
        </w:rPr>
        <w:t>class teacher meets parents and the SEN</w:t>
      </w:r>
      <w:r w:rsidR="00060B9A" w:rsidRPr="46EEB9CC">
        <w:rPr>
          <w:sz w:val="24"/>
          <w:szCs w:val="24"/>
        </w:rPr>
        <w:t>D</w:t>
      </w:r>
      <w:r w:rsidRPr="46EEB9CC">
        <w:rPr>
          <w:sz w:val="24"/>
          <w:szCs w:val="24"/>
        </w:rPr>
        <w:t>Co is available for parent consultations on request.</w:t>
      </w:r>
      <w:r w:rsidR="00060B9A" w:rsidRPr="46EEB9CC">
        <w:rPr>
          <w:sz w:val="24"/>
          <w:szCs w:val="24"/>
        </w:rPr>
        <w:t xml:space="preserve"> </w:t>
      </w:r>
    </w:p>
    <w:p w14:paraId="34C5E027" w14:textId="4840ABAA" w:rsidR="46EEB9CC" w:rsidRDefault="46EEB9CC" w:rsidP="46EEB9CC">
      <w:pPr>
        <w:pStyle w:val="MediumGrid21"/>
        <w:jc w:val="both"/>
        <w:rPr>
          <w:sz w:val="24"/>
          <w:szCs w:val="24"/>
        </w:rPr>
      </w:pPr>
    </w:p>
    <w:p w14:paraId="6914D5E5" w14:textId="77777777" w:rsidR="00724D08" w:rsidRPr="003D2921" w:rsidRDefault="00724D08" w:rsidP="00724D08">
      <w:pPr>
        <w:pStyle w:val="NormalWeb"/>
        <w:jc w:val="both"/>
        <w:rPr>
          <w:rFonts w:ascii="Calibri" w:hAnsi="Calibri"/>
          <w:b/>
        </w:rPr>
      </w:pPr>
      <w:r w:rsidRPr="003D2921">
        <w:rPr>
          <w:rFonts w:ascii="Calibri" w:hAnsi="Calibri"/>
          <w:b/>
        </w:rPr>
        <w:t>What we offer:</w:t>
      </w:r>
    </w:p>
    <w:p w14:paraId="5F5EAF2C" w14:textId="77777777" w:rsidR="00724D08" w:rsidRPr="003D2921" w:rsidRDefault="00724D08" w:rsidP="00724D08">
      <w:pPr>
        <w:pStyle w:val="NormalWeb"/>
        <w:numPr>
          <w:ilvl w:val="0"/>
          <w:numId w:val="2"/>
        </w:numPr>
        <w:jc w:val="both"/>
        <w:rPr>
          <w:rFonts w:ascii="Calibri" w:hAnsi="Calibri"/>
        </w:rPr>
      </w:pPr>
      <w:r w:rsidRPr="003D2921">
        <w:rPr>
          <w:rFonts w:ascii="Calibri" w:hAnsi="Calibri"/>
        </w:rPr>
        <w:t>Regular academic monitoring (termly), with termly updates for parents.</w:t>
      </w:r>
    </w:p>
    <w:p w14:paraId="4E7303EC" w14:textId="36CAE7F8" w:rsidR="00724D08" w:rsidRPr="003D2921" w:rsidRDefault="00724D08" w:rsidP="00724D08">
      <w:pPr>
        <w:pStyle w:val="NormalWeb"/>
        <w:numPr>
          <w:ilvl w:val="0"/>
          <w:numId w:val="2"/>
        </w:numPr>
        <w:jc w:val="both"/>
        <w:rPr>
          <w:rFonts w:ascii="Calibri" w:hAnsi="Calibri"/>
        </w:rPr>
      </w:pPr>
      <w:r w:rsidRPr="003D2921">
        <w:rPr>
          <w:rFonts w:ascii="Calibri" w:hAnsi="Calibri"/>
        </w:rPr>
        <w:t xml:space="preserve">Staff available to speak with parents/ carers </w:t>
      </w:r>
      <w:r w:rsidR="00F2614A">
        <w:rPr>
          <w:rFonts w:ascii="Calibri" w:hAnsi="Calibri"/>
        </w:rPr>
        <w:t>when appropriate</w:t>
      </w:r>
      <w:r w:rsidRPr="003D2921">
        <w:rPr>
          <w:rFonts w:ascii="Calibri" w:hAnsi="Calibri"/>
        </w:rPr>
        <w:t>. Regular termly meetings for parents/carers of a pupil on the SEND register.</w:t>
      </w:r>
    </w:p>
    <w:p w14:paraId="2D6A65E1" w14:textId="77777777" w:rsidR="00724D08" w:rsidRPr="003D2921" w:rsidRDefault="00724D08" w:rsidP="00724D08">
      <w:pPr>
        <w:pStyle w:val="NormalWeb"/>
        <w:numPr>
          <w:ilvl w:val="0"/>
          <w:numId w:val="2"/>
        </w:numPr>
        <w:jc w:val="both"/>
        <w:rPr>
          <w:rFonts w:ascii="Calibri" w:hAnsi="Calibri"/>
        </w:rPr>
      </w:pPr>
      <w:r w:rsidRPr="003D2921">
        <w:rPr>
          <w:rFonts w:ascii="Calibri" w:hAnsi="Calibri"/>
        </w:rPr>
        <w:t>A Governing Body who oversee Pupil Welfare.</w:t>
      </w:r>
    </w:p>
    <w:p w14:paraId="65D326DA" w14:textId="400636A8" w:rsidR="00724D08" w:rsidRPr="003D2921" w:rsidRDefault="00724D08" w:rsidP="00724D08">
      <w:pPr>
        <w:pStyle w:val="NormalWeb"/>
        <w:numPr>
          <w:ilvl w:val="0"/>
          <w:numId w:val="2"/>
        </w:numPr>
        <w:jc w:val="both"/>
        <w:rPr>
          <w:rFonts w:ascii="Calibri" w:hAnsi="Calibri"/>
        </w:rPr>
      </w:pPr>
      <w:r w:rsidRPr="003D2921">
        <w:rPr>
          <w:rFonts w:ascii="Calibri" w:hAnsi="Calibri"/>
        </w:rPr>
        <w:t>Links with specialist teachers and other professionals including Educational Psychology, the speech and language team</w:t>
      </w:r>
      <w:r w:rsidR="00F2614A">
        <w:rPr>
          <w:rFonts w:ascii="Calibri" w:hAnsi="Calibri"/>
        </w:rPr>
        <w:t xml:space="preserve"> and the SCIL team. </w:t>
      </w:r>
    </w:p>
    <w:p w14:paraId="70866949" w14:textId="3595E1FA" w:rsidR="00060B9A" w:rsidRPr="003D2921" w:rsidRDefault="00060B9A" w:rsidP="00724D08">
      <w:pPr>
        <w:pStyle w:val="NormalWeb"/>
        <w:numPr>
          <w:ilvl w:val="0"/>
          <w:numId w:val="2"/>
        </w:numPr>
        <w:jc w:val="both"/>
        <w:rPr>
          <w:rFonts w:ascii="Calibri" w:hAnsi="Calibri"/>
        </w:rPr>
      </w:pPr>
      <w:r w:rsidRPr="003D2921">
        <w:rPr>
          <w:rFonts w:ascii="Calibri" w:hAnsi="Calibri"/>
        </w:rPr>
        <w:t xml:space="preserve">High quality teaching across school </w:t>
      </w:r>
      <w:r w:rsidR="00F2614A">
        <w:rPr>
          <w:rFonts w:ascii="Calibri" w:hAnsi="Calibri"/>
        </w:rPr>
        <w:t xml:space="preserve">and </w:t>
      </w:r>
      <w:r w:rsidR="009D6A9C">
        <w:rPr>
          <w:rFonts w:ascii="Calibri" w:hAnsi="Calibri"/>
        </w:rPr>
        <w:t xml:space="preserve">considered SEN support offers across school </w:t>
      </w:r>
    </w:p>
    <w:p w14:paraId="6F820B87" w14:textId="77777777" w:rsidR="00724D08" w:rsidRPr="003D2921" w:rsidRDefault="00060B9A" w:rsidP="00724D08">
      <w:pPr>
        <w:pStyle w:val="NormalWeb"/>
        <w:numPr>
          <w:ilvl w:val="0"/>
          <w:numId w:val="2"/>
        </w:numPr>
        <w:jc w:val="both"/>
        <w:rPr>
          <w:rFonts w:ascii="Calibri" w:hAnsi="Calibri"/>
        </w:rPr>
      </w:pPr>
      <w:r w:rsidRPr="46EEB9CC">
        <w:rPr>
          <w:rFonts w:ascii="Calibri" w:hAnsi="Calibri"/>
        </w:rPr>
        <w:t xml:space="preserve">Passionate teaching staff who regularly undertake CPD </w:t>
      </w:r>
    </w:p>
    <w:p w14:paraId="30F71F05" w14:textId="06408756" w:rsidR="007C48D9" w:rsidRPr="007C48D9" w:rsidRDefault="007C48D9" w:rsidP="00724D08">
      <w:pPr>
        <w:pStyle w:val="NormalWeb"/>
        <w:jc w:val="both"/>
        <w:rPr>
          <w:rFonts w:ascii="Calibri" w:hAnsi="Calibri"/>
        </w:rPr>
      </w:pPr>
      <w:r>
        <w:rPr>
          <w:rFonts w:ascii="Calibri" w:hAnsi="Calibri"/>
        </w:rPr>
        <w:t xml:space="preserve">A detailed report discussing SEND children’s academic progress is submitted to governors each year within the annual SEND report. </w:t>
      </w:r>
    </w:p>
    <w:p w14:paraId="79CDB97C" w14:textId="37AADD43" w:rsidR="00724D08" w:rsidRPr="00C570C9" w:rsidRDefault="00724D08" w:rsidP="00724D08">
      <w:pPr>
        <w:pStyle w:val="NormalWeb"/>
        <w:jc w:val="both"/>
        <w:rPr>
          <w:rFonts w:ascii="Calibri" w:hAnsi="Calibri"/>
          <w:b/>
          <w:u w:val="single"/>
        </w:rPr>
      </w:pPr>
      <w:r w:rsidRPr="00C570C9">
        <w:rPr>
          <w:rFonts w:ascii="Calibri" w:hAnsi="Calibri"/>
          <w:b/>
          <w:u w:val="single"/>
        </w:rPr>
        <w:t>Spending on SEND:</w:t>
      </w:r>
    </w:p>
    <w:p w14:paraId="0C5978F5" w14:textId="2A64B5D7" w:rsidR="00C570C9" w:rsidRDefault="00724D08" w:rsidP="00724D08">
      <w:pPr>
        <w:pStyle w:val="NormalWeb"/>
        <w:jc w:val="both"/>
        <w:rPr>
          <w:rFonts w:ascii="Calibri" w:hAnsi="Calibri"/>
        </w:rPr>
      </w:pPr>
      <w:r w:rsidRPr="003D2921">
        <w:rPr>
          <w:rFonts w:ascii="Calibri" w:hAnsi="Calibri"/>
        </w:rPr>
        <w:t xml:space="preserve">In </w:t>
      </w:r>
      <w:r w:rsidR="003829FD" w:rsidRPr="003D2921">
        <w:rPr>
          <w:rFonts w:ascii="Calibri" w:hAnsi="Calibri"/>
        </w:rPr>
        <w:t>2</w:t>
      </w:r>
      <w:r w:rsidR="0044174F" w:rsidRPr="003D2921">
        <w:rPr>
          <w:rFonts w:ascii="Calibri" w:hAnsi="Calibri"/>
        </w:rPr>
        <w:t>02</w:t>
      </w:r>
      <w:r w:rsidR="00C570C9">
        <w:rPr>
          <w:rFonts w:ascii="Calibri" w:hAnsi="Calibri"/>
        </w:rPr>
        <w:t>4</w:t>
      </w:r>
      <w:r w:rsidR="0044174F" w:rsidRPr="003D2921">
        <w:rPr>
          <w:rFonts w:ascii="Calibri" w:hAnsi="Calibri"/>
        </w:rPr>
        <w:t>-202</w:t>
      </w:r>
      <w:r w:rsidR="00C570C9">
        <w:rPr>
          <w:rFonts w:ascii="Calibri" w:hAnsi="Calibri"/>
        </w:rPr>
        <w:t>5</w:t>
      </w:r>
      <w:r w:rsidR="003829FD" w:rsidRPr="003D2921">
        <w:rPr>
          <w:rFonts w:ascii="Calibri" w:hAnsi="Calibri"/>
        </w:rPr>
        <w:t xml:space="preserve"> </w:t>
      </w:r>
      <w:r w:rsidRPr="003D2921">
        <w:rPr>
          <w:rFonts w:ascii="Calibri" w:hAnsi="Calibri"/>
        </w:rPr>
        <w:t>school received £</w:t>
      </w:r>
      <w:r w:rsidR="00C570C9">
        <w:rPr>
          <w:rFonts w:ascii="Calibri" w:hAnsi="Calibri"/>
        </w:rPr>
        <w:t>50</w:t>
      </w:r>
      <w:r w:rsidR="00195C18">
        <w:rPr>
          <w:rFonts w:ascii="Calibri" w:hAnsi="Calibri"/>
        </w:rPr>
        <w:t>,</w:t>
      </w:r>
      <w:r w:rsidR="00C570C9">
        <w:rPr>
          <w:rFonts w:ascii="Calibri" w:hAnsi="Calibri"/>
        </w:rPr>
        <w:t>850</w:t>
      </w:r>
      <w:r w:rsidRPr="003D2921">
        <w:rPr>
          <w:rFonts w:ascii="Calibri" w:hAnsi="Calibri"/>
        </w:rPr>
        <w:t xml:space="preserve"> of </w:t>
      </w:r>
      <w:r w:rsidR="00C00595" w:rsidRPr="003D2921">
        <w:rPr>
          <w:rFonts w:ascii="Calibri" w:hAnsi="Calibri"/>
        </w:rPr>
        <w:t xml:space="preserve">EHCP </w:t>
      </w:r>
      <w:r w:rsidRPr="003D2921">
        <w:rPr>
          <w:rFonts w:ascii="Calibri" w:hAnsi="Calibri"/>
        </w:rPr>
        <w:t>SEN funding</w:t>
      </w:r>
      <w:r w:rsidR="00C00595" w:rsidRPr="003D2921">
        <w:rPr>
          <w:rFonts w:ascii="Calibri" w:hAnsi="Calibri"/>
        </w:rPr>
        <w:t xml:space="preserve"> for the year</w:t>
      </w:r>
      <w:r w:rsidRPr="003D2921">
        <w:rPr>
          <w:rFonts w:ascii="Calibri" w:hAnsi="Calibri"/>
        </w:rPr>
        <w:t xml:space="preserve">.  </w:t>
      </w:r>
      <w:r w:rsidR="00C570C9">
        <w:rPr>
          <w:rFonts w:ascii="Calibri" w:hAnsi="Calibri"/>
        </w:rPr>
        <w:t xml:space="preserve">We will also receive a further small top up for a plan which has been finalised in July. We should receive a payment for July and August before the end of the year. This amount is currently unconfirmed. </w:t>
      </w:r>
    </w:p>
    <w:p w14:paraId="6451CF61" w14:textId="54884F5D" w:rsidR="00C00595" w:rsidRPr="003D2921" w:rsidRDefault="00724D08" w:rsidP="00724D08">
      <w:pPr>
        <w:pStyle w:val="NormalWeb"/>
        <w:jc w:val="both"/>
        <w:rPr>
          <w:rFonts w:ascii="Calibri" w:hAnsi="Calibri"/>
        </w:rPr>
      </w:pPr>
      <w:r w:rsidRPr="003D2921">
        <w:rPr>
          <w:rFonts w:ascii="Calibri" w:hAnsi="Calibri"/>
        </w:rPr>
        <w:t>This money has been used to support the staffing costs for pupils with EHCPs</w:t>
      </w:r>
      <w:r w:rsidR="00C00595" w:rsidRPr="003D2921">
        <w:rPr>
          <w:rFonts w:ascii="Calibri" w:hAnsi="Calibri"/>
        </w:rPr>
        <w:t>. Funding from the notional budget has been used to further support p</w:t>
      </w:r>
      <w:r w:rsidRPr="003D2921">
        <w:rPr>
          <w:rFonts w:ascii="Calibri" w:hAnsi="Calibri"/>
        </w:rPr>
        <w:t>upils with additional needs; it has also been used to fund training, resources and</w:t>
      </w:r>
      <w:r w:rsidR="00C00595" w:rsidRPr="003D2921">
        <w:rPr>
          <w:rFonts w:ascii="Calibri" w:hAnsi="Calibri"/>
        </w:rPr>
        <w:t xml:space="preserve"> further SEN provision</w:t>
      </w:r>
      <w:r w:rsidRPr="003D2921">
        <w:rPr>
          <w:rFonts w:ascii="Calibri" w:hAnsi="Calibri"/>
        </w:rPr>
        <w:t xml:space="preserve">.  </w:t>
      </w:r>
    </w:p>
    <w:p w14:paraId="23F65E92" w14:textId="694514AB" w:rsidR="00C00595" w:rsidRPr="003D2921" w:rsidRDefault="00C00595" w:rsidP="00724D08">
      <w:pPr>
        <w:rPr>
          <w:sz w:val="24"/>
          <w:szCs w:val="24"/>
        </w:rPr>
      </w:pPr>
      <w:r w:rsidRPr="003D2921">
        <w:rPr>
          <w:sz w:val="24"/>
          <w:szCs w:val="24"/>
        </w:rPr>
        <w:t xml:space="preserve">We purchased </w:t>
      </w:r>
      <w:r w:rsidR="00195C18">
        <w:rPr>
          <w:sz w:val="24"/>
          <w:szCs w:val="24"/>
        </w:rPr>
        <w:t>2</w:t>
      </w:r>
      <w:r w:rsidRPr="003D2921">
        <w:rPr>
          <w:sz w:val="24"/>
          <w:szCs w:val="24"/>
        </w:rPr>
        <w:t xml:space="preserve"> educational psychologist sessions to further support our SEN children – at an approximate cost of </w:t>
      </w:r>
      <w:r w:rsidR="00195C18">
        <w:rPr>
          <w:sz w:val="24"/>
          <w:szCs w:val="24"/>
        </w:rPr>
        <w:t>£</w:t>
      </w:r>
      <w:r w:rsidR="00C570C9">
        <w:rPr>
          <w:sz w:val="24"/>
          <w:szCs w:val="24"/>
        </w:rPr>
        <w:t xml:space="preserve">700. </w:t>
      </w:r>
    </w:p>
    <w:p w14:paraId="5F29F5D3" w14:textId="77777777" w:rsidR="00724D08" w:rsidRPr="003D2921" w:rsidRDefault="00724D08" w:rsidP="00724D08">
      <w:pPr>
        <w:rPr>
          <w:b/>
          <w:sz w:val="24"/>
          <w:szCs w:val="24"/>
        </w:rPr>
      </w:pPr>
      <w:r w:rsidRPr="003D2921">
        <w:rPr>
          <w:b/>
          <w:sz w:val="24"/>
          <w:szCs w:val="24"/>
        </w:rPr>
        <w:t>External agencies</w:t>
      </w:r>
    </w:p>
    <w:p w14:paraId="67C88507" w14:textId="200B2970" w:rsidR="00724D08" w:rsidRDefault="0094708C" w:rsidP="00724D08">
      <w:pPr>
        <w:rPr>
          <w:sz w:val="24"/>
          <w:szCs w:val="24"/>
        </w:rPr>
      </w:pPr>
      <w:r w:rsidRPr="46EEB9CC">
        <w:rPr>
          <w:sz w:val="24"/>
          <w:szCs w:val="24"/>
        </w:rPr>
        <w:t>We have continued to receive s</w:t>
      </w:r>
      <w:r w:rsidR="00C00595" w:rsidRPr="46EEB9CC">
        <w:rPr>
          <w:sz w:val="24"/>
          <w:szCs w:val="24"/>
        </w:rPr>
        <w:t>upport from the Bradford Local Offer and SCIL team</w:t>
      </w:r>
      <w:r w:rsidRPr="46EEB9CC">
        <w:rPr>
          <w:sz w:val="24"/>
          <w:szCs w:val="24"/>
        </w:rPr>
        <w:t xml:space="preserve">. </w:t>
      </w:r>
    </w:p>
    <w:p w14:paraId="3796ECC7" w14:textId="6CA095E6" w:rsidR="005B1D8D" w:rsidRDefault="00195C18" w:rsidP="46EEB9CC">
      <w:pPr>
        <w:rPr>
          <w:sz w:val="24"/>
          <w:szCs w:val="24"/>
        </w:rPr>
      </w:pPr>
      <w:r>
        <w:rPr>
          <w:sz w:val="24"/>
          <w:szCs w:val="24"/>
        </w:rPr>
        <w:t>We are able to refer through our</w:t>
      </w:r>
      <w:r w:rsidR="14AA1FD7" w:rsidRPr="46EEB9CC">
        <w:rPr>
          <w:sz w:val="24"/>
          <w:szCs w:val="24"/>
        </w:rPr>
        <w:t xml:space="preserve"> specialist teacher</w:t>
      </w:r>
      <w:r>
        <w:rPr>
          <w:sz w:val="24"/>
          <w:szCs w:val="24"/>
        </w:rPr>
        <w:t xml:space="preserve"> when we need additional support for children who then supports with appropriate next steps. This may be involving a teacher from another specialism, providing training, completing assessments or completing an observation</w:t>
      </w:r>
      <w:r w:rsidR="14AA1FD7" w:rsidRPr="46EEB9CC">
        <w:rPr>
          <w:sz w:val="24"/>
          <w:szCs w:val="24"/>
        </w:rPr>
        <w:t xml:space="preserve">. </w:t>
      </w:r>
    </w:p>
    <w:p w14:paraId="6BCAD027" w14:textId="376B2B8D" w:rsidR="00F504E8" w:rsidRDefault="29525F63" w:rsidP="46EEB9CC">
      <w:pPr>
        <w:rPr>
          <w:b/>
          <w:bCs/>
          <w:sz w:val="24"/>
          <w:szCs w:val="24"/>
          <w:u w:val="single"/>
        </w:rPr>
      </w:pPr>
      <w:r w:rsidRPr="46EEB9CC">
        <w:rPr>
          <w:b/>
          <w:bCs/>
          <w:sz w:val="24"/>
          <w:szCs w:val="24"/>
          <w:u w:val="single"/>
        </w:rPr>
        <w:lastRenderedPageBreak/>
        <w:t>SEN Trends</w:t>
      </w:r>
    </w:p>
    <w:p w14:paraId="25728B4E" w14:textId="78FF603E" w:rsidR="00F504E8" w:rsidRDefault="00127604" w:rsidP="46EEB9CC">
      <w:pPr>
        <w:rPr>
          <w:bCs/>
          <w:sz w:val="24"/>
          <w:szCs w:val="24"/>
        </w:rPr>
      </w:pPr>
      <w:r>
        <w:rPr>
          <w:bCs/>
          <w:sz w:val="24"/>
          <w:szCs w:val="24"/>
        </w:rPr>
        <w:t xml:space="preserve">I have been reviewing SEN trends across school and sharing this with the Head of School termly to further improve our overall picture of SEN in the wider school community, to review what we have implemented and inform discussion around our next steps. </w:t>
      </w:r>
    </w:p>
    <w:p w14:paraId="229FDA0B" w14:textId="6B4A3D53" w:rsidR="00127604" w:rsidRDefault="00127604" w:rsidP="46EEB9CC">
      <w:pPr>
        <w:rPr>
          <w:bCs/>
          <w:sz w:val="24"/>
          <w:szCs w:val="24"/>
        </w:rPr>
      </w:pPr>
      <w:r>
        <w:rPr>
          <w:bCs/>
          <w:sz w:val="24"/>
          <w:szCs w:val="24"/>
        </w:rPr>
        <w:t xml:space="preserve">We look at: </w:t>
      </w:r>
    </w:p>
    <w:p w14:paraId="49E1E32E" w14:textId="24E2532B" w:rsidR="00F504E8" w:rsidRDefault="00F504E8" w:rsidP="46EEB9CC">
      <w:pPr>
        <w:rPr>
          <w:bCs/>
          <w:sz w:val="24"/>
          <w:szCs w:val="24"/>
        </w:rPr>
      </w:pPr>
      <w:r>
        <w:rPr>
          <w:bCs/>
          <w:sz w:val="24"/>
          <w:szCs w:val="24"/>
        </w:rPr>
        <w:t xml:space="preserve">SEN </w:t>
      </w:r>
      <w:r w:rsidR="00127604">
        <w:rPr>
          <w:bCs/>
          <w:sz w:val="24"/>
          <w:szCs w:val="24"/>
        </w:rPr>
        <w:t>a</w:t>
      </w:r>
      <w:r>
        <w:rPr>
          <w:bCs/>
          <w:sz w:val="24"/>
          <w:szCs w:val="24"/>
        </w:rPr>
        <w:t xml:space="preserve">ttainment Trends </w:t>
      </w:r>
    </w:p>
    <w:p w14:paraId="3C91635C" w14:textId="0D5F8C3B" w:rsidR="00127604" w:rsidRDefault="00127604" w:rsidP="46EEB9CC">
      <w:pPr>
        <w:rPr>
          <w:bCs/>
          <w:sz w:val="24"/>
          <w:szCs w:val="24"/>
        </w:rPr>
      </w:pPr>
      <w:r>
        <w:rPr>
          <w:bCs/>
          <w:sz w:val="24"/>
          <w:szCs w:val="24"/>
        </w:rPr>
        <w:t xml:space="preserve">SEN attendance </w:t>
      </w:r>
    </w:p>
    <w:p w14:paraId="2354F2A5" w14:textId="1A3AA18E" w:rsidR="00F504E8" w:rsidRDefault="00F504E8" w:rsidP="46EEB9CC">
      <w:pPr>
        <w:rPr>
          <w:bCs/>
          <w:sz w:val="24"/>
          <w:szCs w:val="24"/>
        </w:rPr>
      </w:pPr>
      <w:r>
        <w:rPr>
          <w:bCs/>
          <w:sz w:val="24"/>
          <w:szCs w:val="24"/>
        </w:rPr>
        <w:t xml:space="preserve">SEN attendance at </w:t>
      </w:r>
      <w:r w:rsidR="00127604">
        <w:rPr>
          <w:bCs/>
          <w:sz w:val="24"/>
          <w:szCs w:val="24"/>
        </w:rPr>
        <w:t>after sch</w:t>
      </w:r>
      <w:r>
        <w:rPr>
          <w:bCs/>
          <w:sz w:val="24"/>
          <w:szCs w:val="24"/>
        </w:rPr>
        <w:t xml:space="preserve">ool clubs </w:t>
      </w:r>
    </w:p>
    <w:p w14:paraId="25778787" w14:textId="0EB7E01A" w:rsidR="00F504E8" w:rsidRDefault="00F504E8" w:rsidP="46EEB9CC">
      <w:pPr>
        <w:rPr>
          <w:bCs/>
          <w:sz w:val="24"/>
          <w:szCs w:val="24"/>
        </w:rPr>
      </w:pPr>
      <w:r>
        <w:rPr>
          <w:bCs/>
          <w:sz w:val="24"/>
          <w:szCs w:val="24"/>
        </w:rPr>
        <w:t xml:space="preserve">SEN and multi-vulnerable children </w:t>
      </w:r>
    </w:p>
    <w:p w14:paraId="5838285E" w14:textId="3D97C4AD" w:rsidR="00F504E8" w:rsidRDefault="007C48D9" w:rsidP="46EEB9CC">
      <w:pPr>
        <w:rPr>
          <w:bCs/>
          <w:sz w:val="24"/>
          <w:szCs w:val="24"/>
        </w:rPr>
      </w:pPr>
      <w:r>
        <w:rPr>
          <w:bCs/>
          <w:sz w:val="24"/>
          <w:szCs w:val="24"/>
        </w:rPr>
        <w:t xml:space="preserve">An annual SEND action and development plan is also submitted to governors annually to celebrate the development of SEN across school. </w:t>
      </w:r>
    </w:p>
    <w:p w14:paraId="69E4E489" w14:textId="06F4E129" w:rsidR="00F504E8" w:rsidRPr="00F504E8" w:rsidRDefault="00F504E8" w:rsidP="46EEB9CC">
      <w:pPr>
        <w:rPr>
          <w:b/>
          <w:bCs/>
          <w:sz w:val="24"/>
          <w:szCs w:val="24"/>
        </w:rPr>
      </w:pPr>
      <w:r>
        <w:rPr>
          <w:b/>
          <w:bCs/>
          <w:sz w:val="24"/>
          <w:szCs w:val="24"/>
        </w:rPr>
        <w:t>Written by J Wilson July 202</w:t>
      </w:r>
      <w:r w:rsidR="005B1D8D">
        <w:rPr>
          <w:b/>
          <w:bCs/>
          <w:sz w:val="24"/>
          <w:szCs w:val="24"/>
        </w:rPr>
        <w:t>5</w:t>
      </w:r>
      <w:r w:rsidR="00B8655D">
        <w:rPr>
          <w:b/>
          <w:bCs/>
          <w:sz w:val="24"/>
          <w:szCs w:val="24"/>
        </w:rPr>
        <w:t xml:space="preserve"> </w:t>
      </w:r>
    </w:p>
    <w:sectPr w:rsidR="00F504E8" w:rsidRPr="00F504E8" w:rsidSect="00B8763C">
      <w:headerReference w:type="default" r:id="rId12"/>
      <w:pgSz w:w="11906" w:h="16838"/>
      <w:pgMar w:top="823" w:right="1440" w:bottom="851" w:left="1440" w:header="426" w:footer="708" w:gutter="0"/>
      <w:pgBorders w:offsetFrom="page">
        <w:top w:val="single" w:sz="24" w:space="24" w:color="00C4CA"/>
        <w:left w:val="single" w:sz="24" w:space="24" w:color="00C4CA"/>
        <w:bottom w:val="single" w:sz="24" w:space="24" w:color="00C4CA"/>
        <w:right w:val="single" w:sz="24" w:space="24" w:color="00C4CA"/>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00B34" w14:textId="77777777" w:rsidR="0077490B" w:rsidRDefault="0077490B">
      <w:pPr>
        <w:spacing w:after="0" w:line="240" w:lineRule="auto"/>
      </w:pPr>
      <w:r>
        <w:separator/>
      </w:r>
    </w:p>
  </w:endnote>
  <w:endnote w:type="continuationSeparator" w:id="0">
    <w:p w14:paraId="1F2A6D8F" w14:textId="77777777" w:rsidR="0077490B" w:rsidRDefault="0077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A475E" w14:textId="77777777" w:rsidR="0077490B" w:rsidRDefault="0077490B">
      <w:pPr>
        <w:spacing w:after="0" w:line="240" w:lineRule="auto"/>
      </w:pPr>
      <w:r>
        <w:separator/>
      </w:r>
    </w:p>
  </w:footnote>
  <w:footnote w:type="continuationSeparator" w:id="0">
    <w:p w14:paraId="2870A9D5" w14:textId="77777777" w:rsidR="0077490B" w:rsidRDefault="0077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6D2E" w14:textId="77777777" w:rsidR="00F239A7" w:rsidRDefault="00F239A7" w:rsidP="00F239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7D1F"/>
    <w:multiLevelType w:val="hybridMultilevel"/>
    <w:tmpl w:val="B61E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F6353"/>
    <w:multiLevelType w:val="hybridMultilevel"/>
    <w:tmpl w:val="3A8A25BC"/>
    <w:lvl w:ilvl="0" w:tplc="38BE1836">
      <w:numFmt w:val="bullet"/>
      <w:lvlText w:val="·"/>
      <w:lvlJc w:val="left"/>
      <w:pPr>
        <w:ind w:left="930" w:hanging="57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D1"/>
    <w:rsid w:val="000335C6"/>
    <w:rsid w:val="00060B9A"/>
    <w:rsid w:val="000C1AB7"/>
    <w:rsid w:val="000D7D27"/>
    <w:rsid w:val="000F717F"/>
    <w:rsid w:val="00122C33"/>
    <w:rsid w:val="00127604"/>
    <w:rsid w:val="001455C7"/>
    <w:rsid w:val="00164651"/>
    <w:rsid w:val="00195C18"/>
    <w:rsid w:val="001D7FA3"/>
    <w:rsid w:val="001E03A8"/>
    <w:rsid w:val="00212872"/>
    <w:rsid w:val="002E0C5A"/>
    <w:rsid w:val="003829FD"/>
    <w:rsid w:val="003D2921"/>
    <w:rsid w:val="003D4BA3"/>
    <w:rsid w:val="003E2384"/>
    <w:rsid w:val="003F2DDF"/>
    <w:rsid w:val="0044174F"/>
    <w:rsid w:val="004C6CED"/>
    <w:rsid w:val="005018EB"/>
    <w:rsid w:val="00536368"/>
    <w:rsid w:val="00553F1C"/>
    <w:rsid w:val="005B1D8D"/>
    <w:rsid w:val="005E0CB4"/>
    <w:rsid w:val="0067629D"/>
    <w:rsid w:val="00692F10"/>
    <w:rsid w:val="006A3EE3"/>
    <w:rsid w:val="006D777D"/>
    <w:rsid w:val="00724D08"/>
    <w:rsid w:val="00764C1B"/>
    <w:rsid w:val="0077490B"/>
    <w:rsid w:val="007C48D9"/>
    <w:rsid w:val="00821314"/>
    <w:rsid w:val="00824346"/>
    <w:rsid w:val="00867D0C"/>
    <w:rsid w:val="008A0AC9"/>
    <w:rsid w:val="008C7FD1"/>
    <w:rsid w:val="008E67E4"/>
    <w:rsid w:val="009117DA"/>
    <w:rsid w:val="00921E9B"/>
    <w:rsid w:val="0094708C"/>
    <w:rsid w:val="00960999"/>
    <w:rsid w:val="009922FE"/>
    <w:rsid w:val="009A2C8F"/>
    <w:rsid w:val="009B72EB"/>
    <w:rsid w:val="009C7A89"/>
    <w:rsid w:val="009D3645"/>
    <w:rsid w:val="009D6A9C"/>
    <w:rsid w:val="00A468C3"/>
    <w:rsid w:val="00A97B64"/>
    <w:rsid w:val="00AA2C74"/>
    <w:rsid w:val="00AD7920"/>
    <w:rsid w:val="00B717B4"/>
    <w:rsid w:val="00B8655D"/>
    <w:rsid w:val="00B8763C"/>
    <w:rsid w:val="00B91C35"/>
    <w:rsid w:val="00B927D7"/>
    <w:rsid w:val="00B9535E"/>
    <w:rsid w:val="00BD454C"/>
    <w:rsid w:val="00BF75F8"/>
    <w:rsid w:val="00C00595"/>
    <w:rsid w:val="00C570C9"/>
    <w:rsid w:val="00C66D59"/>
    <w:rsid w:val="00CD5153"/>
    <w:rsid w:val="00D52F8F"/>
    <w:rsid w:val="00DC5496"/>
    <w:rsid w:val="00DE0B21"/>
    <w:rsid w:val="00DF528E"/>
    <w:rsid w:val="00E27476"/>
    <w:rsid w:val="00EA466E"/>
    <w:rsid w:val="00ED3B98"/>
    <w:rsid w:val="00EF0745"/>
    <w:rsid w:val="00F00E4A"/>
    <w:rsid w:val="00F239A7"/>
    <w:rsid w:val="00F2614A"/>
    <w:rsid w:val="00F311EF"/>
    <w:rsid w:val="00F504E8"/>
    <w:rsid w:val="00F7548C"/>
    <w:rsid w:val="00F7794F"/>
    <w:rsid w:val="00FC5ADD"/>
    <w:rsid w:val="075B8E54"/>
    <w:rsid w:val="0879B69B"/>
    <w:rsid w:val="08F75EB5"/>
    <w:rsid w:val="0973E1C5"/>
    <w:rsid w:val="0C2EFF77"/>
    <w:rsid w:val="0DCACFD8"/>
    <w:rsid w:val="14AA1FD7"/>
    <w:rsid w:val="152018DF"/>
    <w:rsid w:val="190D827F"/>
    <w:rsid w:val="19FAF716"/>
    <w:rsid w:val="1C829CE4"/>
    <w:rsid w:val="1F84B189"/>
    <w:rsid w:val="21D7DC2F"/>
    <w:rsid w:val="2406519C"/>
    <w:rsid w:val="25AF9B97"/>
    <w:rsid w:val="25B458F3"/>
    <w:rsid w:val="287B98DB"/>
    <w:rsid w:val="29525F63"/>
    <w:rsid w:val="2A5B313B"/>
    <w:rsid w:val="2BE4A9FD"/>
    <w:rsid w:val="2C089500"/>
    <w:rsid w:val="306D8263"/>
    <w:rsid w:val="32A177A1"/>
    <w:rsid w:val="32F22108"/>
    <w:rsid w:val="33077315"/>
    <w:rsid w:val="3557AD3E"/>
    <w:rsid w:val="35F0BBA9"/>
    <w:rsid w:val="3634B679"/>
    <w:rsid w:val="38A39DAB"/>
    <w:rsid w:val="396608DF"/>
    <w:rsid w:val="3B01D940"/>
    <w:rsid w:val="3BF59C33"/>
    <w:rsid w:val="3C5FFD2D"/>
    <w:rsid w:val="408B93B3"/>
    <w:rsid w:val="41FA0DE9"/>
    <w:rsid w:val="46EEB9CC"/>
    <w:rsid w:val="4C7E0E7D"/>
    <w:rsid w:val="4E19DEDE"/>
    <w:rsid w:val="4FBE6609"/>
    <w:rsid w:val="4FDA3356"/>
    <w:rsid w:val="534F0508"/>
    <w:rsid w:val="567B33AD"/>
    <w:rsid w:val="56FB0079"/>
    <w:rsid w:val="57EB9397"/>
    <w:rsid w:val="59512B12"/>
    <w:rsid w:val="5B233459"/>
    <w:rsid w:val="5D87F53A"/>
    <w:rsid w:val="61F8E65B"/>
    <w:rsid w:val="68A69295"/>
    <w:rsid w:val="6928360E"/>
    <w:rsid w:val="6C528E06"/>
    <w:rsid w:val="6DA974BE"/>
    <w:rsid w:val="70E11580"/>
    <w:rsid w:val="74F25843"/>
    <w:rsid w:val="77505704"/>
    <w:rsid w:val="7A8FE54C"/>
    <w:rsid w:val="7AD921DB"/>
    <w:rsid w:val="7BAEA1F0"/>
    <w:rsid w:val="7D178B1A"/>
    <w:rsid w:val="7D4A7251"/>
    <w:rsid w:val="7F63566F"/>
    <w:rsid w:val="7FE1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A88A"/>
  <w15:chartTrackingRefBased/>
  <w15:docId w15:val="{53F207C3-1B2A-40B5-AC90-E870857D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NormalWeb">
    <w:name w:val="Normal (Web)"/>
    <w:basedOn w:val="Normal"/>
    <w:uiPriority w:val="99"/>
    <w:unhideWhenUsed/>
    <w:rsid w:val="00741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4151A"/>
    <w:rPr>
      <w:b/>
      <w:bCs/>
    </w:rPr>
  </w:style>
  <w:style w:type="table" w:styleId="TableGrid">
    <w:name w:val="Table Grid"/>
    <w:basedOn w:val="TableNormal"/>
    <w:uiPriority w:val="59"/>
    <w:rsid w:val="0083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213e46-ae0f-4f0d-a3f6-77f89b21e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C84B8F8B9E6489B0B49C1A9897A9E" ma:contentTypeVersion="18" ma:contentTypeDescription="Create a new document." ma:contentTypeScope="" ma:versionID="5d5ea681b4a3ece06a306e21b4c33adf">
  <xsd:schema xmlns:xsd="http://www.w3.org/2001/XMLSchema" xmlns:xs="http://www.w3.org/2001/XMLSchema" xmlns:p="http://schemas.microsoft.com/office/2006/metadata/properties" xmlns:ns3="c3213e46-ae0f-4f0d-a3f6-77f89b21ecb4" xmlns:ns4="4f45e934-ce2a-4ad9-8805-dfc9b8a53926" targetNamespace="http://schemas.microsoft.com/office/2006/metadata/properties" ma:root="true" ma:fieldsID="2f89bf19b22f9d576820f63e7edb319c" ns3:_="" ns4:_="">
    <xsd:import namespace="c3213e46-ae0f-4f0d-a3f6-77f89b21ecb4"/>
    <xsd:import namespace="4f45e934-ce2a-4ad9-8805-dfc9b8a539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13e46-ae0f-4f0d-a3f6-77f89b21e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5e934-ce2a-4ad9-8805-dfc9b8a539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201E-F06E-4445-9A5E-B597578BD707}">
  <ds:schemaRefs>
    <ds:schemaRef ds:uri="4f45e934-ce2a-4ad9-8805-dfc9b8a53926"/>
    <ds:schemaRef ds:uri="http://www.w3.org/XML/1998/namespace"/>
    <ds:schemaRef ds:uri="http://purl.org/dc/terms/"/>
    <ds:schemaRef ds:uri="http://purl.org/dc/elements/1.1/"/>
    <ds:schemaRef ds:uri="c3213e46-ae0f-4f0d-a3f6-77f89b21ecb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4AB3DF7-3B73-4DB1-AC10-E629DB69BF34}">
  <ds:schemaRefs>
    <ds:schemaRef ds:uri="http://schemas.microsoft.com/sharepoint/v3/contenttype/forms"/>
  </ds:schemaRefs>
</ds:datastoreItem>
</file>

<file path=customXml/itemProps3.xml><?xml version="1.0" encoding="utf-8"?>
<ds:datastoreItem xmlns:ds="http://schemas.openxmlformats.org/officeDocument/2006/customXml" ds:itemID="{1D27C430-DC3E-40AC-B213-EE1B21A04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13e46-ae0f-4f0d-a3f6-77f89b21ecb4"/>
    <ds:schemaRef ds:uri="4f45e934-ce2a-4ad9-8805-dfc9b8a53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671D0-068E-4D0A-A1D4-53C02094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Eccles</dc:creator>
  <cp:keywords/>
  <cp:lastModifiedBy>Claire Redman</cp:lastModifiedBy>
  <cp:revision>2</cp:revision>
  <cp:lastPrinted>2016-11-25T14:53:00Z</cp:lastPrinted>
  <dcterms:created xsi:type="dcterms:W3CDTF">2025-07-15T14:51:00Z</dcterms:created>
  <dcterms:modified xsi:type="dcterms:W3CDTF">2025-07-15T14:51:00Z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0x01010053BC84B8F8B9E6489B0B49C1A9897A9E</vt:lpwstr>
  </property>
  <property fmtid="{D5CDD505-2E9C-101B-9397-08002B2CF9AE}" pid="3" name="Order">
    <vt:r8>3800</vt:r8>
  </property>
  <property fmtid="{D5CDD505-2E9C-101B-9397-08002B2CF9AE}" pid="4" name="MediaServiceImageTags">
    <vt:lpwstr/>
  </property>
</Properties>
</file>